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9337E4C" w14:textId="77777777" w:rsidR="00FD3BB5" w:rsidRDefault="000753E8" w:rsidP="000753E8">
      <w:pPr>
        <w:jc w:val="both"/>
        <w:rPr>
          <w:rtl/>
          <w:lang w:bidi="ar-AE"/>
        </w:rPr>
      </w:pPr>
      <w:hyperlink r:id="rId4" w:history="1">
        <w:r w:rsidRPr="000753E8">
          <w:rPr>
            <w:rStyle w:val="Hyperlink"/>
            <w:rFonts w:hint="cs"/>
            <w:rtl/>
            <w:lang w:bidi="ar-AE"/>
          </w:rPr>
          <w:t>آلام المسيح المختلفة</w:t>
        </w:r>
      </w:hyperlink>
    </w:p>
    <w:p w14:paraId="0780F48B" w14:textId="77777777" w:rsidR="000753E8" w:rsidRDefault="000753E8" w:rsidP="000753E8">
      <w:pPr>
        <w:jc w:val="both"/>
        <w:rPr>
          <w:rtl/>
          <w:lang w:bidi="ar-AE"/>
        </w:rPr>
      </w:pPr>
      <w:r w:rsidRPr="000753E8">
        <w:rPr>
          <w:lang w:bidi="ar-AE"/>
        </w:rPr>
        <w:t>Dirk Schürmann</w:t>
      </w:r>
    </w:p>
    <w:p w14:paraId="79321E2F" w14:textId="39541C55" w:rsidR="000753E8" w:rsidRDefault="000753E8" w:rsidP="000753E8">
      <w:pPr>
        <w:jc w:val="both"/>
        <w:rPr>
          <w:rtl/>
          <w:lang w:bidi="ar-AE"/>
        </w:rPr>
      </w:pPr>
      <w:r>
        <w:rPr>
          <w:rFonts w:hint="cs"/>
          <w:rtl/>
          <w:lang w:bidi="ar-AE"/>
        </w:rPr>
        <w:t>أشعياء 63: 9؛ مزمور 69</w:t>
      </w:r>
    </w:p>
    <w:p w14:paraId="6ACFC44A" w14:textId="56444B6F" w:rsidR="000753E8" w:rsidRDefault="000753E8" w:rsidP="000753E8">
      <w:pPr>
        <w:jc w:val="both"/>
        <w:rPr>
          <w:rtl/>
          <w:lang w:bidi="ar-AE"/>
        </w:rPr>
      </w:pPr>
      <w:r>
        <w:rPr>
          <w:rFonts w:hint="cs"/>
          <w:rtl/>
          <w:lang w:bidi="ar-AE"/>
        </w:rPr>
        <w:t>آلام كفارية</w:t>
      </w:r>
    </w:p>
    <w:p w14:paraId="150EB446" w14:textId="590E0DB9" w:rsidR="000753E8" w:rsidRDefault="000753E8" w:rsidP="000753E8">
      <w:pPr>
        <w:jc w:val="both"/>
        <w:rPr>
          <w:rtl/>
          <w:lang w:bidi="ar-AE"/>
        </w:rPr>
      </w:pPr>
      <w:r>
        <w:rPr>
          <w:rFonts w:hint="cs"/>
          <w:rtl/>
          <w:lang w:bidi="ar-AE"/>
        </w:rPr>
        <w:t>الرب يسوع تألم مختلف الأنواع من الآلام. هو تألم أيضًا في أوقات مختلفة. إن أغلب ما يؤثر فينا أولاً بكل تأكيد، لأن لنا نصيب كبير فيها، كانت الآلام الكفارية على الجلجثة. لقد كانت بالأخص تلك الآلام الكفارية، التي تسببت له ضيقًا كبيرًا لا حد له. هذه الآلام بالنسبة لنا هي أهم الآلام على الإطلاق، لأنه لو لم يتألم هذه الآلام لكا لا بد لنا أن نتحمّل عذابًا أبديًا في الجحيم. لكن لأنه تألم هناك على الجلجثة من أجلنا، لسنا بحاجة أن نرهب من هذه الآلام، هذا العذاب. هو تكبّدها عنا، هو صار نائبًا عنا.</w:t>
      </w:r>
    </w:p>
    <w:p w14:paraId="3D8C290B" w14:textId="3ED41D14" w:rsidR="000753E8" w:rsidRDefault="000753E8" w:rsidP="000753E8">
      <w:pPr>
        <w:jc w:val="both"/>
        <w:rPr>
          <w:rtl/>
          <w:lang w:bidi="ar-AE"/>
        </w:rPr>
      </w:pPr>
      <w:r>
        <w:rPr>
          <w:rFonts w:hint="cs"/>
          <w:rtl/>
          <w:lang w:bidi="ar-AE"/>
        </w:rPr>
        <w:t>آلام من أجل البرّ</w:t>
      </w:r>
    </w:p>
    <w:p w14:paraId="6A6C5537" w14:textId="122C1BA7" w:rsidR="000753E8" w:rsidRDefault="000753E8" w:rsidP="000753E8">
      <w:pPr>
        <w:jc w:val="both"/>
        <w:rPr>
          <w:rFonts w:hint="cs"/>
          <w:rtl/>
          <w:lang w:bidi="ar-AE"/>
        </w:rPr>
      </w:pPr>
      <w:r>
        <w:rPr>
          <w:rFonts w:hint="cs"/>
          <w:rtl/>
          <w:lang w:bidi="ar-AE"/>
        </w:rPr>
        <w:t>إلا أن المسيح لم يتألم عنا فقط؛ فقد كان ينبغي عليه أن يتألم من أجل البر، لأنه كان هنا البار بين الأثمة وعومل بصورة غير عادلة. لأنه عاش حياة بارة، مقدسة، خالية من الخطية، صار له أعداء؛ وأبغضوه، ولم يريدوه</w:t>
      </w:r>
      <w:r w:rsidR="0089236F">
        <w:rPr>
          <w:rFonts w:hint="cs"/>
          <w:rtl/>
          <w:lang w:bidi="ar-AE"/>
        </w:rPr>
        <w:t>. إنهم رفضوا النور الذي نشره؛ فهذا كان بالحري مضيئًا لهم لأنه كشف عن الشر في الحياة. وبالرغم من ذلك أبغضوه. لقد كانت آلامًا كان ينبغي عليه أن يحتملها من أجل البرّ.</w:t>
      </w:r>
    </w:p>
    <w:p w14:paraId="025A7CF9" w14:textId="60FB49DC" w:rsidR="0089236F" w:rsidRDefault="0089236F" w:rsidP="000753E8">
      <w:pPr>
        <w:jc w:val="both"/>
        <w:rPr>
          <w:rtl/>
          <w:lang w:bidi="ar-AE"/>
        </w:rPr>
      </w:pPr>
      <w:r>
        <w:rPr>
          <w:rFonts w:hint="cs"/>
          <w:rtl/>
          <w:lang w:bidi="ar-AE"/>
        </w:rPr>
        <w:t>إن الآلام من أجل البر ينبغي علينا نحن أيضًا أن نحتملها اليوم، بعض منا أكثر، والبعض بنسبة أقل. إن كنا ننشر نور المسيح في البيئة التي نعيش فيها فإنه سيكون للبعض مشرقًا أكثر من اللازم، وسيدخلون في مشكلة معنا. إننا سنختبر ذلك حتى من الذين يدعون أنفسهم مسيحيين وأحيانًا يكونون أيضًا فعلاً مسيحيين.</w:t>
      </w:r>
    </w:p>
    <w:p w14:paraId="234D6CDE" w14:textId="0BB4976E" w:rsidR="0089236F" w:rsidRDefault="0089236F" w:rsidP="000753E8">
      <w:pPr>
        <w:jc w:val="both"/>
        <w:rPr>
          <w:rtl/>
          <w:lang w:bidi="ar-AE"/>
        </w:rPr>
      </w:pPr>
      <w:r>
        <w:rPr>
          <w:rFonts w:hint="cs"/>
          <w:rtl/>
          <w:lang w:bidi="ar-AE"/>
        </w:rPr>
        <w:t>آلام في علم مسبق وشعور مسبق</w:t>
      </w:r>
    </w:p>
    <w:p w14:paraId="2A220AAA" w14:textId="6F07891C" w:rsidR="0089236F" w:rsidRDefault="0089236F" w:rsidP="000753E8">
      <w:pPr>
        <w:jc w:val="both"/>
        <w:rPr>
          <w:rtl/>
          <w:lang w:bidi="ar-AE"/>
        </w:rPr>
      </w:pPr>
      <w:r>
        <w:rPr>
          <w:rFonts w:hint="cs"/>
          <w:rtl/>
          <w:lang w:bidi="ar-AE"/>
        </w:rPr>
        <w:t>غير أنه هنالك نوع آخر من آلام ربنا غير معروفة كثيرًا. عندما نقرأ الخبر عن الجلجثة المذكور في الثلاث أناجيل</w:t>
      </w:r>
      <w:r w:rsidR="007451FD">
        <w:rPr>
          <w:rFonts w:hint="cs"/>
          <w:rtl/>
          <w:lang w:bidi="ar-AE"/>
        </w:rPr>
        <w:t xml:space="preserve"> سنعلم عندها بأن الرب تألم هناك في علمه المسبق وشعوره المسبق بما سيحتمله في دينونة الله على الجلجثة.</w:t>
      </w:r>
    </w:p>
    <w:p w14:paraId="0F23F428" w14:textId="3F7E74EE" w:rsidR="007451FD" w:rsidRDefault="007451FD" w:rsidP="000753E8">
      <w:pPr>
        <w:jc w:val="both"/>
        <w:rPr>
          <w:rtl/>
          <w:lang w:bidi="ar-AE"/>
        </w:rPr>
      </w:pPr>
      <w:r>
        <w:rPr>
          <w:rFonts w:hint="cs"/>
          <w:rtl/>
          <w:lang w:bidi="ar-AE"/>
        </w:rPr>
        <w:t>هذا النوع من الآلام هو نوع نقابله كثيرًا في المزامير. لأن هذه الآلام مرتبطة أيضًا بشكل خاص بما ستختبره يومًا البقية التقية من إسرائيل في المستقبل. هذه الآلام دخل فيها الرب طوعًا واختيارً، لكبما يتألم مع شعبه.</w:t>
      </w:r>
    </w:p>
    <w:p w14:paraId="7158B02A" w14:textId="7472FF88" w:rsidR="007451FD" w:rsidRDefault="007451FD" w:rsidP="000753E8">
      <w:pPr>
        <w:jc w:val="both"/>
        <w:rPr>
          <w:rtl/>
          <w:lang w:bidi="ar-AE"/>
        </w:rPr>
      </w:pPr>
      <w:r>
        <w:rPr>
          <w:rFonts w:hint="cs"/>
          <w:rtl/>
          <w:lang w:bidi="ar-AE"/>
        </w:rPr>
        <w:t>إن كنا لا نفرقها عن الآلام الكفارية فسريعًا ما سندخل في حيرة. عندها سنندهش من المزامير التي تتكلم عن الآلام، والتي تتكلم في ختامها عن الدينونة، وسنتساءل، إن كان الرب قد تألم ما قبل تألمه في ساعات الترك الثلاثة من أجل الخطاة. لنأخذ مزمور 69 بالمقارنة مع مزمور 22. فعلى سبيل المثال مزمور 69: 14: "</w:t>
      </w:r>
      <w:r w:rsidRPr="007451FD">
        <w:rPr>
          <w:rtl/>
          <w:lang w:bidi="ar-AE"/>
        </w:rPr>
        <w:t>13 أَمَّا أَنَا فَلَكَ صَلاَتِي يَا رَبُّ فِي وَقْتِ رِضًى.</w:t>
      </w:r>
      <w:r>
        <w:rPr>
          <w:rFonts w:hint="cs"/>
          <w:rtl/>
          <w:lang w:bidi="ar-AE"/>
        </w:rPr>
        <w:t>" ليس هو كمزمور 22: 3: "</w:t>
      </w:r>
      <w:r w:rsidR="007E7EEE" w:rsidRPr="007E7EEE">
        <w:rPr>
          <w:rtl/>
          <w:lang w:bidi="ar-AE"/>
        </w:rPr>
        <w:t>إِلهِي، فِي النَّهَارِ أَدْعُو فَلاَ تَسْتَجِيبُ، فِي اللَّيْلِ أَدْعُو فَلاَ هُدُوَّ لِي</w:t>
      </w:r>
      <w:r w:rsidR="007E7EEE">
        <w:rPr>
          <w:rFonts w:hint="cs"/>
          <w:rtl/>
          <w:lang w:bidi="ar-AE"/>
        </w:rPr>
        <w:t>...</w:t>
      </w:r>
      <w:r w:rsidR="007E7EEE" w:rsidRPr="007E7EEE">
        <w:rPr>
          <w:rtl/>
          <w:lang w:bidi="ar-AE"/>
        </w:rPr>
        <w:t>.</w:t>
      </w:r>
      <w:r w:rsidR="007E7EEE">
        <w:rPr>
          <w:rFonts w:hint="cs"/>
          <w:rtl/>
          <w:lang w:bidi="ar-AE"/>
        </w:rPr>
        <w:t xml:space="preserve"> </w:t>
      </w:r>
      <w:r w:rsidR="007E7EEE" w:rsidRPr="007E7EEE">
        <w:rPr>
          <w:rtl/>
          <w:lang w:bidi="ar-AE"/>
        </w:rPr>
        <w:t>لِمَاذَا تَرَكْتَنِي</w:t>
      </w:r>
      <w:r w:rsidR="007E7EEE">
        <w:rPr>
          <w:rFonts w:hint="cs"/>
          <w:rtl/>
          <w:lang w:bidi="ar-AE"/>
        </w:rPr>
        <w:t>؟"</w:t>
      </w:r>
    </w:p>
    <w:p w14:paraId="7AC20AAD" w14:textId="69F7B140" w:rsidR="007E7EEE" w:rsidRDefault="00C361DC" w:rsidP="000753E8">
      <w:pPr>
        <w:jc w:val="both"/>
        <w:rPr>
          <w:rtl/>
          <w:lang w:bidi="ar-AE"/>
        </w:rPr>
      </w:pPr>
      <w:r>
        <w:rPr>
          <w:rFonts w:hint="cs"/>
          <w:rtl/>
          <w:lang w:bidi="ar-AE"/>
        </w:rPr>
        <w:lastRenderedPageBreak/>
        <w:t xml:space="preserve">كلا، إنه وقت رِضًى. بذلك الأمر واضح جدًا. فلا يمكن أن يكون الأمر عن الثلاث ساعات الترك. إننا سندرك، بأن مزمور 22 يجيش بروح مختلفة تمامًا عن مزمور 69. </w:t>
      </w:r>
    </w:p>
    <w:p w14:paraId="5E57D6F7" w14:textId="730F7B02" w:rsidR="00C361DC" w:rsidRPr="00C361DC" w:rsidRDefault="00C361DC" w:rsidP="000753E8">
      <w:pPr>
        <w:jc w:val="both"/>
        <w:rPr>
          <w:rFonts w:hint="cs"/>
          <w:lang w:val="de-DE" w:bidi="ar-AE"/>
        </w:rPr>
      </w:pPr>
      <w:r w:rsidRPr="00C361DC">
        <w:rPr>
          <w:lang w:val="de-DE" w:bidi="ar-AE"/>
        </w:rPr>
        <w:t>Nachdem dort das Werk im 22. Vers zu Ende beschrieben ist</w:t>
      </w:r>
      <w:r w:rsidRPr="00C361DC">
        <w:rPr>
          <w:rtl/>
          <w:lang w:bidi="ar-AE"/>
        </w:rPr>
        <w:t>,</w:t>
      </w:r>
      <w:bookmarkStart w:id="0" w:name="_GoBack"/>
      <w:bookmarkEnd w:id="0"/>
    </w:p>
    <w:sectPr w:rsidR="00C361DC" w:rsidRPr="00C361DC"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3E8"/>
    <w:rsid w:val="000753E8"/>
    <w:rsid w:val="000C5A11"/>
    <w:rsid w:val="003056E7"/>
    <w:rsid w:val="007451FD"/>
    <w:rsid w:val="007E7EEE"/>
    <w:rsid w:val="0089236F"/>
    <w:rsid w:val="00BA192E"/>
    <w:rsid w:val="00C361DC"/>
    <w:rsid w:val="00C442EF"/>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5CFF7"/>
  <w15:chartTrackingRefBased/>
  <w15:docId w15:val="{720A1B75-6BF3-4BC3-B7D5-AC3C0CD6A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753E8"/>
    <w:rPr>
      <w:color w:val="0563C1" w:themeColor="hyperlink"/>
      <w:u w:val="single"/>
    </w:rPr>
  </w:style>
  <w:style w:type="character" w:styleId="UnresolvedMention">
    <w:name w:val="Unresolved Mention"/>
    <w:basedOn w:val="DefaultParagraphFont"/>
    <w:uiPriority w:val="99"/>
    <w:semiHidden/>
    <w:unhideWhenUsed/>
    <w:rsid w:val="000753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4857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oundwords.de/die-unterschiedlichen-leiden-christi-a8613.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370</Words>
  <Characters>2109</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2</cp:revision>
  <dcterms:created xsi:type="dcterms:W3CDTF">2021-03-30T10:19:00Z</dcterms:created>
  <dcterms:modified xsi:type="dcterms:W3CDTF">2021-03-30T10:55:00Z</dcterms:modified>
</cp:coreProperties>
</file>