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CEE2F" w14:textId="1E35305D" w:rsidR="00BE011D" w:rsidRDefault="00035F4C">
      <w:pPr>
        <w:rPr>
          <w:rtl/>
        </w:rPr>
      </w:pPr>
      <w:hyperlink r:id="rId4" w:history="1">
        <w:r w:rsidRPr="00035F4C">
          <w:rPr>
            <w:rStyle w:val="Hyperlink"/>
            <w:rFonts w:hint="cs"/>
            <w:rtl/>
          </w:rPr>
          <w:t>من بيت عنيا الأول إلى الثاني</w:t>
        </w:r>
      </w:hyperlink>
    </w:p>
    <w:p w14:paraId="16502897" w14:textId="1B75C6B9" w:rsidR="00035F4C" w:rsidRDefault="00035F4C">
      <w:pPr>
        <w:rPr>
          <w:rtl/>
        </w:rPr>
      </w:pPr>
      <w:r>
        <w:rPr>
          <w:rFonts w:hint="cs"/>
          <w:rtl/>
        </w:rPr>
        <w:t xml:space="preserve">يوحنا 10: 39 </w:t>
      </w:r>
      <w:r>
        <w:rPr>
          <w:rtl/>
        </w:rPr>
        <w:t>–</w:t>
      </w:r>
      <w:r>
        <w:rPr>
          <w:rFonts w:hint="cs"/>
          <w:rtl/>
        </w:rPr>
        <w:t xml:space="preserve"> 42</w:t>
      </w:r>
    </w:p>
    <w:p w14:paraId="3D929A50" w14:textId="56E8EA01" w:rsidR="00035F4C" w:rsidRDefault="00035F4C" w:rsidP="00035F4C">
      <w:pPr>
        <w:jc w:val="right"/>
      </w:pPr>
      <w:r w:rsidRPr="00035F4C">
        <w:t>Fritz von Kietzell</w:t>
      </w:r>
    </w:p>
    <w:p w14:paraId="4065FAA3" w14:textId="289B82BE" w:rsidR="00035F4C" w:rsidRDefault="00035F4C">
      <w:pPr>
        <w:rPr>
          <w:rtl/>
        </w:rPr>
      </w:pPr>
      <w:r>
        <w:rPr>
          <w:rFonts w:hint="cs"/>
          <w:rtl/>
        </w:rPr>
        <w:t>"</w:t>
      </w:r>
      <w:r w:rsidRPr="00035F4C">
        <w:rPr>
          <w:rtl/>
        </w:rPr>
        <w:t>فَطَلَبُوا أَيْضًا أَنْ يُمْسِكُوهُ فَخَرَجَ مِنْ أَيْدِيهِمْ،  40وَمَضَى أَيْضًا إِلَى عَبْرِ الأُرْدُنِّ إِلَى الْمَكَانِ الَّذِي كَانَ يُوحَنَّا يُعَمِّدُ فِيهِ أَوَّلاً وَمَكَثَ هُنَاكَ.  41فَأَتَى إِلَيْهِ كَثِيرُونَ وَقَالُوا:«إِنَّ يُوحَنَّا لَمْ يَفْعَلْ آيَةً وَاحِدَةً، وَلكِنْ كُلُّ مَا قَالَهُ يُوحَنَّا عَنْ هذَا كَانَ حَقًّا».  42فَآمَنَ كَثِيرُونَ بِهِ هُنَاكَ.</w:t>
      </w:r>
      <w:r>
        <w:rPr>
          <w:rFonts w:hint="cs"/>
          <w:rtl/>
        </w:rPr>
        <w:t>"</w:t>
      </w:r>
    </w:p>
    <w:p w14:paraId="70F36A78" w14:textId="572EE6EC" w:rsidR="00035F4C" w:rsidRDefault="00035F4C">
      <w:pPr>
        <w:rPr>
          <w:rtl/>
        </w:rPr>
      </w:pPr>
      <w:r>
        <w:rPr>
          <w:rFonts w:hint="cs"/>
          <w:rtl/>
        </w:rPr>
        <w:t xml:space="preserve">خمسة من السبع "آيات" الرب المُخبَر عنها في إنجيل يوحنا تأملنا فيها في السنة الماضية من هذا الموضع. مع الآية السادسة، إقامة لعازر، ندخل مقطعًا جديدًا في إنجيلنا، ومن المفيد إن </w:t>
      </w:r>
      <w:r w:rsidR="00D73E71">
        <w:rPr>
          <w:rFonts w:hint="cs"/>
          <w:rtl/>
        </w:rPr>
        <w:t>مكثنا هنا لفترة من الوقت.</w:t>
      </w:r>
    </w:p>
    <w:p w14:paraId="3D5DC786" w14:textId="64BE52FF" w:rsidR="00D73E71" w:rsidRDefault="00D73E71">
      <w:pPr>
        <w:rPr>
          <w:rtl/>
        </w:rPr>
      </w:pPr>
      <w:r>
        <w:rPr>
          <w:rFonts w:hint="cs"/>
          <w:rtl/>
        </w:rPr>
        <w:t>في نهاية الإصحاح 10 نقرأ: "</w:t>
      </w:r>
      <w:r w:rsidRPr="00D73E71">
        <w:rPr>
          <w:rFonts w:ascii="Times New Roman" w:hAnsi="Times New Roman" w:cs="Times New Roman" w:hint="cs"/>
          <w:rtl/>
        </w:rPr>
        <w:t>​</w:t>
      </w:r>
      <w:r w:rsidRPr="00D73E71">
        <w:rPr>
          <w:rFonts w:hint="cs"/>
          <w:rtl/>
        </w:rPr>
        <w:t>فَطَلَبُوا</w:t>
      </w:r>
      <w:r w:rsidRPr="00D73E71">
        <w:rPr>
          <w:rtl/>
        </w:rPr>
        <w:t xml:space="preserve"> </w:t>
      </w:r>
      <w:r w:rsidRPr="00D73E71">
        <w:rPr>
          <w:rFonts w:hint="cs"/>
          <w:rtl/>
        </w:rPr>
        <w:t>أَيْضًا</w:t>
      </w:r>
      <w:r w:rsidRPr="00D73E71">
        <w:rPr>
          <w:rtl/>
        </w:rPr>
        <w:t xml:space="preserve"> </w:t>
      </w:r>
      <w:r w:rsidRPr="00D73E71">
        <w:rPr>
          <w:rFonts w:hint="cs"/>
          <w:rtl/>
        </w:rPr>
        <w:t>أَنْ</w:t>
      </w:r>
      <w:r w:rsidRPr="00D73E71">
        <w:rPr>
          <w:rtl/>
        </w:rPr>
        <w:t xml:space="preserve"> </w:t>
      </w:r>
      <w:r w:rsidRPr="00D73E71">
        <w:rPr>
          <w:rFonts w:hint="cs"/>
          <w:rtl/>
        </w:rPr>
        <w:t>يُمْسِكُوهُ</w:t>
      </w:r>
      <w:r w:rsidRPr="00D73E71">
        <w:rPr>
          <w:rtl/>
        </w:rPr>
        <w:t xml:space="preserve"> </w:t>
      </w:r>
      <w:r w:rsidRPr="00D73E71">
        <w:rPr>
          <w:rFonts w:hint="cs"/>
          <w:rtl/>
        </w:rPr>
        <w:t>فَخَرَجَ</w:t>
      </w:r>
      <w:r w:rsidRPr="00D73E71">
        <w:rPr>
          <w:rtl/>
        </w:rPr>
        <w:t xml:space="preserve"> </w:t>
      </w:r>
      <w:r w:rsidRPr="00D73E71">
        <w:rPr>
          <w:rFonts w:hint="cs"/>
          <w:rtl/>
        </w:rPr>
        <w:t>مِنْ</w:t>
      </w:r>
      <w:r w:rsidRPr="00D73E71">
        <w:rPr>
          <w:rtl/>
        </w:rPr>
        <w:t xml:space="preserve"> </w:t>
      </w:r>
      <w:r w:rsidRPr="00D73E71">
        <w:rPr>
          <w:rFonts w:hint="cs"/>
          <w:rtl/>
        </w:rPr>
        <w:t>أَيْدِيهِمْ،</w:t>
      </w:r>
      <w:r w:rsidRPr="00D73E71">
        <w:rPr>
          <w:rtl/>
        </w:rPr>
        <w:t xml:space="preserve">  </w:t>
      </w:r>
      <w:r w:rsidRPr="00D73E71">
        <w:rPr>
          <w:rFonts w:ascii="Times New Roman" w:hAnsi="Times New Roman" w:cs="Times New Roman" w:hint="cs"/>
          <w:rtl/>
        </w:rPr>
        <w:t>​</w:t>
      </w:r>
      <w:r w:rsidRPr="00D73E71">
        <w:rPr>
          <w:rtl/>
        </w:rPr>
        <w:t>40</w:t>
      </w:r>
      <w:r w:rsidRPr="00D73E71">
        <w:rPr>
          <w:rFonts w:ascii="Times New Roman" w:hAnsi="Times New Roman" w:cs="Times New Roman" w:hint="cs"/>
          <w:rtl/>
        </w:rPr>
        <w:t>​</w:t>
      </w:r>
      <w:r w:rsidRPr="00D73E71">
        <w:rPr>
          <w:rtl/>
        </w:rPr>
        <w:t xml:space="preserve"> </w:t>
      </w:r>
      <w:r w:rsidRPr="00D73E71">
        <w:rPr>
          <w:rFonts w:ascii="Times New Roman" w:hAnsi="Times New Roman" w:cs="Times New Roman" w:hint="cs"/>
          <w:rtl/>
        </w:rPr>
        <w:t>​</w:t>
      </w:r>
      <w:r w:rsidRPr="00D73E71">
        <w:rPr>
          <w:rFonts w:hint="cs"/>
          <w:rtl/>
        </w:rPr>
        <w:t>وَمَضَى</w:t>
      </w:r>
      <w:r w:rsidRPr="00D73E71">
        <w:rPr>
          <w:rtl/>
        </w:rPr>
        <w:t xml:space="preserve"> </w:t>
      </w:r>
      <w:r w:rsidRPr="00D73E71">
        <w:rPr>
          <w:rFonts w:hint="cs"/>
          <w:rtl/>
        </w:rPr>
        <w:t>أَيْضًا</w:t>
      </w:r>
      <w:r w:rsidRPr="00D73E71">
        <w:rPr>
          <w:rtl/>
        </w:rPr>
        <w:t xml:space="preserve"> </w:t>
      </w:r>
      <w:r w:rsidRPr="00D73E71">
        <w:rPr>
          <w:rFonts w:hint="cs"/>
          <w:rtl/>
        </w:rPr>
        <w:t>إِلَى</w:t>
      </w:r>
      <w:r w:rsidRPr="00D73E71">
        <w:rPr>
          <w:rtl/>
        </w:rPr>
        <w:t xml:space="preserve"> </w:t>
      </w:r>
      <w:r w:rsidRPr="00D73E71">
        <w:rPr>
          <w:rFonts w:hint="cs"/>
          <w:rtl/>
        </w:rPr>
        <w:t>عَبْرِ</w:t>
      </w:r>
      <w:r w:rsidRPr="00D73E71">
        <w:rPr>
          <w:rtl/>
        </w:rPr>
        <w:t xml:space="preserve"> </w:t>
      </w:r>
      <w:r w:rsidRPr="00D73E71">
        <w:rPr>
          <w:rFonts w:hint="cs"/>
          <w:rtl/>
        </w:rPr>
        <w:t>ا</w:t>
      </w:r>
      <w:r w:rsidRPr="00D73E71">
        <w:rPr>
          <w:rtl/>
        </w:rPr>
        <w:t>لأُرْدُنِّ إِلَى الْمَكَانِ الَّذِي كَانَ يُوحَنَّا يُعَمِّدُ فِيهِ أَوَّلاً وَمَكَثَ هُنَاكَ.</w:t>
      </w:r>
      <w:r>
        <w:rPr>
          <w:rFonts w:hint="cs"/>
          <w:rtl/>
        </w:rPr>
        <w:t>"</w:t>
      </w:r>
    </w:p>
    <w:p w14:paraId="160995F5" w14:textId="2B8F6684" w:rsidR="00D73E71" w:rsidRDefault="00D73E71">
      <w:pPr>
        <w:rPr>
          <w:rtl/>
        </w:rPr>
      </w:pPr>
      <w:r>
        <w:rPr>
          <w:rFonts w:hint="cs"/>
          <w:rtl/>
        </w:rPr>
        <w:t>مباشرة قبل خبر ظهور الرب الأول في هذا الإنجيل نقرأ: "</w:t>
      </w:r>
      <w:r w:rsidRPr="00D73E71">
        <w:rPr>
          <w:rtl/>
        </w:rPr>
        <w:t>هذَا كَانَ فِي بَيْتِ عَبْرَةَ فِي عَبْرِ الأُرْدُنِّ حَيْثُ كَانَ يُوحَنَّا يُعَمِّدُ.</w:t>
      </w:r>
      <w:r>
        <w:rPr>
          <w:rFonts w:hint="cs"/>
          <w:rtl/>
        </w:rPr>
        <w:t>" (يوحنا 1: 28) فبالرغم من أن هذه القرية لا تُذكر هنا في الإصحاح ال10. بصورة صريحة إلا أننا من السهل أن نميز بأنه كان ذات المكان وبأن الرب الآن عاد إلى هناك</w:t>
      </w:r>
      <w:r w:rsidR="00FE4BB7">
        <w:rPr>
          <w:rFonts w:hint="cs"/>
          <w:rtl/>
        </w:rPr>
        <w:t xml:space="preserve"> من حيث كان قد خرج في الماضي، إلى نقطة انطلاقه وخدمته. "</w:t>
      </w:r>
      <w:r w:rsidR="00FE4BB7" w:rsidRPr="00FE4BB7">
        <w:rPr>
          <w:rFonts w:ascii="Times New Roman" w:hAnsi="Times New Roman" w:cs="Times New Roman" w:hint="cs"/>
          <w:rtl/>
        </w:rPr>
        <w:t>​</w:t>
      </w:r>
      <w:r w:rsidR="00FE4BB7" w:rsidRPr="00FE4BB7">
        <w:rPr>
          <w:rFonts w:hint="cs"/>
          <w:rtl/>
        </w:rPr>
        <w:t>وَمَضَى</w:t>
      </w:r>
      <w:r w:rsidR="00FE4BB7" w:rsidRPr="00FE4BB7">
        <w:rPr>
          <w:rtl/>
        </w:rPr>
        <w:t xml:space="preserve"> </w:t>
      </w:r>
      <w:r w:rsidR="00FE4BB7" w:rsidRPr="00FE4BB7">
        <w:rPr>
          <w:rFonts w:hint="cs"/>
          <w:rtl/>
        </w:rPr>
        <w:t>أَيْضًا</w:t>
      </w:r>
      <w:r w:rsidR="00FE4BB7">
        <w:rPr>
          <w:rFonts w:hint="cs"/>
          <w:rtl/>
        </w:rPr>
        <w:t xml:space="preserve"> ...</w:t>
      </w:r>
      <w:r w:rsidR="00FE4BB7" w:rsidRPr="00FE4BB7">
        <w:rPr>
          <w:rtl/>
        </w:rPr>
        <w:t xml:space="preserve"> </w:t>
      </w:r>
      <w:r w:rsidR="00FE4BB7" w:rsidRPr="00FE4BB7">
        <w:rPr>
          <w:rtl/>
        </w:rPr>
        <w:t>وَمَكَثَ هُنَاكَ.</w:t>
      </w:r>
      <w:r w:rsidR="00FE4BB7">
        <w:rPr>
          <w:rFonts w:hint="cs"/>
          <w:rtl/>
        </w:rPr>
        <w:t xml:space="preserve">" </w:t>
      </w:r>
      <w:r w:rsidR="00FE4BB7">
        <w:rPr>
          <w:rtl/>
        </w:rPr>
        <w:t>–</w:t>
      </w:r>
      <w:r w:rsidR="00FE4BB7">
        <w:rPr>
          <w:rFonts w:hint="cs"/>
          <w:rtl/>
        </w:rPr>
        <w:t xml:space="preserve"> خدمته مع إسرائيل كان قد أتمها. لنسأل أنفسنا ماذا كانت هذه الخدمة حيث تحتم عليه أن يمكث فيها.</w:t>
      </w:r>
    </w:p>
    <w:p w14:paraId="375C9BDD" w14:textId="5AF041A2" w:rsidR="00FE4BB7" w:rsidRDefault="0058217D">
      <w:pPr>
        <w:rPr>
          <w:rFonts w:hint="cs"/>
        </w:rPr>
      </w:pPr>
      <w:r>
        <w:rPr>
          <w:rFonts w:hint="cs"/>
          <w:rtl/>
        </w:rPr>
        <w:t xml:space="preserve">في سياق الإصحاحات من 5 إلى 8 كان الرب قد أخذ من اليهود قطعة قطعة ما كانوا يعتمدون عليها في أمورهم الدينية إلى تلك اللحظة. هو بنفسه الذي هو تتميم كل الأمثلة التي في الكتب، كان حاضرًا وحل مكان </w:t>
      </w:r>
      <w:r w:rsidR="00411D2A">
        <w:rPr>
          <w:rFonts w:hint="cs"/>
          <w:rtl/>
        </w:rPr>
        <w:t>"</w:t>
      </w:r>
      <w:r w:rsidR="00411D2A" w:rsidRPr="00411D2A">
        <w:rPr>
          <w:rtl/>
        </w:rPr>
        <w:t xml:space="preserve"> </w:t>
      </w:r>
      <w:r w:rsidR="00411D2A" w:rsidRPr="00411D2A">
        <w:rPr>
          <w:rtl/>
        </w:rPr>
        <w:t>مَا عَتَقَ وَشَاخَ</w:t>
      </w:r>
      <w:r w:rsidR="00411D2A" w:rsidRPr="00411D2A">
        <w:rPr>
          <w:rFonts w:hint="cs"/>
          <w:rtl/>
        </w:rPr>
        <w:t xml:space="preserve"> </w:t>
      </w:r>
      <w:r w:rsidR="00411D2A">
        <w:rPr>
          <w:rFonts w:hint="cs"/>
          <w:rtl/>
        </w:rPr>
        <w:t xml:space="preserve">". في الإصحاح 5 إنها أولاً بيت حسدا، الشهادة الأخيرة عن عمل الله الرحيم في حكم الناموس أيضًا، عن نعمة مشروطة، محدودة مقيدة بمواعيد </w:t>
      </w:r>
      <w:hyperlink r:id="rId5" w:anchor=":~:text=Es%20wird%20in%20den%20Schatten" w:history="1">
        <w:r w:rsidR="00411D2A" w:rsidRPr="00BD7BD9">
          <w:rPr>
            <w:rStyle w:val="Hyperlink"/>
            <w:rFonts w:hint="cs"/>
            <w:rtl/>
          </w:rPr>
          <w:t>معينة</w:t>
        </w:r>
      </w:hyperlink>
      <w:r w:rsidR="00BD7BD9">
        <w:rPr>
          <w:rFonts w:hint="cs"/>
          <w:rtl/>
        </w:rPr>
        <w:t xml:space="preserve">. </w:t>
      </w:r>
    </w:p>
    <w:sectPr w:rsidR="00FE4BB7"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F4C"/>
    <w:rsid w:val="00035F4C"/>
    <w:rsid w:val="0039507F"/>
    <w:rsid w:val="00411D2A"/>
    <w:rsid w:val="0058217D"/>
    <w:rsid w:val="00BD7BD9"/>
    <w:rsid w:val="00BE011D"/>
    <w:rsid w:val="00D73E71"/>
    <w:rsid w:val="00E03FA1"/>
    <w:rsid w:val="00FE4B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1B6C4"/>
  <w15:chartTrackingRefBased/>
  <w15:docId w15:val="{5A83E58A-55E7-4676-8076-4BFAE407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F4C"/>
    <w:rPr>
      <w:color w:val="0563C1" w:themeColor="hyperlink"/>
      <w:u w:val="single"/>
    </w:rPr>
  </w:style>
  <w:style w:type="character" w:styleId="UnresolvedMention">
    <w:name w:val="Unresolved Mention"/>
    <w:basedOn w:val="DefaultParagraphFont"/>
    <w:uiPriority w:val="99"/>
    <w:semiHidden/>
    <w:unhideWhenUsed/>
    <w:rsid w:val="00035F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69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von-dem-einen-zum-anderen-bethanien-1-a255.html" TargetMode="External"/><Relationship Id="rId4" Type="http://schemas.openxmlformats.org/officeDocument/2006/relationships/hyperlink" Target="https://www.soundwords.de/von-dem-einen-zum-anderen-bethanien-1-a25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322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2</cp:revision>
  <dcterms:created xsi:type="dcterms:W3CDTF">2022-09-14T19:33:00Z</dcterms:created>
  <dcterms:modified xsi:type="dcterms:W3CDTF">2022-09-14T20:01:00Z</dcterms:modified>
</cp:coreProperties>
</file>