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9CF7" w14:textId="3A824555" w:rsidR="00BE011D" w:rsidRDefault="00D82F27">
      <w:pPr>
        <w:rPr>
          <w:rtl/>
        </w:rPr>
      </w:pPr>
      <w:r>
        <w:fldChar w:fldCharType="begin"/>
      </w:r>
      <w:r>
        <w:instrText>HYPERLINK "https://www.soundwords.de/das-geheimnis-1-a2769.html"</w:instrText>
      </w:r>
      <w:r>
        <w:fldChar w:fldCharType="separate"/>
      </w:r>
      <w:r w:rsidRPr="00D82F27">
        <w:rPr>
          <w:rStyle w:val="Hyperlink"/>
          <w:rFonts w:hint="cs"/>
          <w:rtl/>
        </w:rPr>
        <w:t>السر (1)</w:t>
      </w:r>
      <w:r>
        <w:fldChar w:fldCharType="end"/>
      </w:r>
    </w:p>
    <w:p w14:paraId="609AAE58" w14:textId="5F95CCC3" w:rsidR="00D82F27" w:rsidRDefault="00D82F27">
      <w:pPr>
        <w:rPr>
          <w:rtl/>
        </w:rPr>
      </w:pPr>
      <w:r>
        <w:rPr>
          <w:rFonts w:hint="cs"/>
          <w:rtl/>
        </w:rPr>
        <w:t xml:space="preserve">مُخفَى من بداية العالم </w:t>
      </w:r>
      <w:r>
        <w:rPr>
          <w:rtl/>
        </w:rPr>
        <w:t>–</w:t>
      </w:r>
      <w:r w:rsidR="00C8528B">
        <w:rPr>
          <w:rFonts w:hint="cs"/>
          <w:rtl/>
        </w:rPr>
        <w:t xml:space="preserve"> وقد</w:t>
      </w:r>
      <w:r>
        <w:rPr>
          <w:rFonts w:hint="cs"/>
          <w:rtl/>
        </w:rPr>
        <w:t xml:space="preserve"> أُعلن لبولس</w:t>
      </w:r>
    </w:p>
    <w:p w14:paraId="12AC61A8" w14:textId="51BC3B5D" w:rsidR="00D82F27" w:rsidRDefault="00D82F27" w:rsidP="00D82F27">
      <w:pPr>
        <w:jc w:val="right"/>
        <w:rPr>
          <w:rtl/>
        </w:rPr>
      </w:pPr>
      <w:r w:rsidRPr="00D82F27">
        <w:t>Edward Dennett</w:t>
      </w:r>
    </w:p>
    <w:p w14:paraId="63207582" w14:textId="314598BE" w:rsidR="00D82F27" w:rsidRDefault="00E76AAF">
      <w:pPr>
        <w:rPr>
          <w:rtl/>
        </w:rPr>
      </w:pPr>
      <w:r>
        <w:rPr>
          <w:rFonts w:hint="cs"/>
          <w:rtl/>
        </w:rPr>
        <w:t>مأمورية بولس كرسول للأمم وكالكارز بالسر</w:t>
      </w:r>
    </w:p>
    <w:p w14:paraId="560172F6" w14:textId="4E52EBC8" w:rsidR="00E76AAF" w:rsidRDefault="00E76AAF">
      <w:pPr>
        <w:rPr>
          <w:rtl/>
        </w:rPr>
      </w:pPr>
      <w:r>
        <w:rPr>
          <w:rFonts w:hint="cs"/>
          <w:rtl/>
        </w:rPr>
        <w:t>مهمة بولس كان لها غايتان. وقد عبّر عنهما في الأعداد أفسس 3: 8 و 9 حيث شرح باختصار وبوضوح طبيعة مأموريته كرسول أو كمبشر:</w:t>
      </w:r>
    </w:p>
    <w:p w14:paraId="5E2C37CA" w14:textId="51E3BC34" w:rsidR="00E76AAF" w:rsidRDefault="00E76AAF" w:rsidP="00E76AAF">
      <w:pPr>
        <w:rPr>
          <w:rtl/>
        </w:rPr>
      </w:pPr>
      <w:r>
        <w:rPr>
          <w:rFonts w:hint="cs"/>
          <w:rtl/>
        </w:rPr>
        <w:t>أفسس 3: 8، 9: "</w:t>
      </w:r>
      <w:r>
        <w:rPr>
          <w:rtl/>
        </w:rPr>
        <w:t xml:space="preserve">لِي أَنَا أَصْغَرَ جَمِيعِ الْقِدِّيسِينَ، أُعْطِيَتْ هذِهِ النِّعْمَةُ، أَنْ أُبَشِّرَ بَيْنَ الأُمَمِ بِغِنَى الْمَسِيحِ الَّذِي لاَ يُسْتَقْصَى، وَأُنِيرَ الْجَمِيعَ فِي مَا هُوَ شَرِكَةُ السِّرِّ الْمَكْتُومِ مُنْذُ الدُّهُورِ فِي اللهِ خَالِقِ الْجَمِيعِ بِيَسُوعَ الْمَسِيحِ. </w:t>
      </w:r>
      <w:r>
        <w:rPr>
          <w:rFonts w:hint="cs"/>
          <w:rtl/>
        </w:rPr>
        <w:t>"</w:t>
      </w:r>
    </w:p>
    <w:p w14:paraId="28B809AF" w14:textId="6FD0C906" w:rsidR="00E76AAF" w:rsidRDefault="00E76AAF" w:rsidP="00E76AAF">
      <w:pPr>
        <w:rPr>
          <w:rtl/>
        </w:rPr>
      </w:pPr>
      <w:r>
        <w:rPr>
          <w:rFonts w:hint="cs"/>
          <w:rtl/>
        </w:rPr>
        <w:t xml:space="preserve">1. في البداية أُعطيت له النعمة بأنه </w:t>
      </w:r>
      <w:r w:rsidR="00C8528B">
        <w:rPr>
          <w:rFonts w:hint="cs"/>
          <w:rtl/>
        </w:rPr>
        <w:t>أُرسل</w:t>
      </w:r>
      <w:r>
        <w:rPr>
          <w:rFonts w:hint="cs"/>
          <w:rtl/>
        </w:rPr>
        <w:t xml:space="preserve"> ليكرز للأمم بغنى المسيح الذي لا يُستقصى. فالتشديد هنا يقع على الأمر بأنهم الأمم الذين كان مُرسَل ليكرز لهم بصورة خاصة. </w:t>
      </w:r>
      <w:r w:rsidR="00456A41">
        <w:rPr>
          <w:rFonts w:hint="cs"/>
          <w:rtl/>
        </w:rPr>
        <w:t xml:space="preserve">إن الكرازة أو الكشف عن غنى نعمة الله في المسيح يسوع بالذات لم تكن مؤتمنة بصورة خاصة لبولس. لقد كان آخرون </w:t>
      </w:r>
      <w:r w:rsidR="00C8528B">
        <w:rPr>
          <w:rFonts w:hint="cs"/>
          <w:rtl/>
        </w:rPr>
        <w:t>مَن</w:t>
      </w:r>
      <w:r w:rsidR="00456A41">
        <w:rPr>
          <w:rFonts w:hint="cs"/>
          <w:rtl/>
        </w:rPr>
        <w:t xml:space="preserve"> أُرسلوا قبله ليكرزوا بهذه الحقائق الثمينة، لكن جهودهم كانت مخصصة</w:t>
      </w:r>
      <w:r w:rsidR="00C8528B">
        <w:rPr>
          <w:rFonts w:hint="cs"/>
          <w:rtl/>
        </w:rPr>
        <w:t xml:space="preserve"> لليهود</w:t>
      </w:r>
      <w:r w:rsidR="00456A41">
        <w:rPr>
          <w:rFonts w:hint="cs"/>
          <w:rtl/>
        </w:rPr>
        <w:t xml:space="preserve"> بصورة أساسية، وإن لم تكن فقط </w:t>
      </w:r>
      <w:r w:rsidR="00C8528B">
        <w:rPr>
          <w:rFonts w:hint="cs"/>
          <w:rtl/>
        </w:rPr>
        <w:t>لهم</w:t>
      </w:r>
      <w:r w:rsidR="00456A41">
        <w:rPr>
          <w:rFonts w:hint="cs"/>
          <w:rtl/>
        </w:rPr>
        <w:t xml:space="preserve"> </w:t>
      </w:r>
      <w:r w:rsidR="00C8528B">
        <w:rPr>
          <w:rFonts w:hint="cs"/>
          <w:rtl/>
        </w:rPr>
        <w:t>ل</w:t>
      </w:r>
      <w:r w:rsidR="00456A41">
        <w:rPr>
          <w:rFonts w:hint="cs"/>
          <w:rtl/>
        </w:rPr>
        <w:t>وحدهم. ومن المؤكد أن الصورة الغنية والكاملة لهذا الغنى الذي لا يُستقصى كانت موجودة في مهمة بولس؛ لكن ما هو غير ذلك فإن تميز النعمة المُعطاة له كانت موجودة في كون اختياره ليكرز بهذا الغنى للأمم.</w:t>
      </w:r>
    </w:p>
    <w:p w14:paraId="1BFC2CF1" w14:textId="37BCDDD2" w:rsidR="00456A41" w:rsidRDefault="00456A41" w:rsidP="00E76AAF">
      <w:pPr>
        <w:rPr>
          <w:rtl/>
        </w:rPr>
      </w:pPr>
      <w:r>
        <w:rPr>
          <w:rFonts w:hint="cs"/>
          <w:rtl/>
        </w:rPr>
        <w:t>2. النطاق الثاني في مأمورية الرسول أتى تعبيره في الكلمات: "</w:t>
      </w:r>
      <w:r w:rsidR="002133F3" w:rsidRPr="002133F3">
        <w:rPr>
          <w:rtl/>
        </w:rPr>
        <w:t>وَأُنِيرَ الْجَمِيعَ فِي مَا هُوَ شَرِكَةُ السِّرِّ</w:t>
      </w:r>
      <w:r w:rsidR="002133F3">
        <w:rPr>
          <w:rFonts w:hint="cs"/>
          <w:rtl/>
        </w:rPr>
        <w:t>"</w:t>
      </w:r>
      <w:r w:rsidR="002133F3">
        <w:rPr>
          <w:rStyle w:val="FootnoteReference"/>
          <w:rtl/>
        </w:rPr>
        <w:footnoteReference w:id="1"/>
      </w:r>
      <w:r w:rsidR="002133F3">
        <w:rPr>
          <w:rFonts w:hint="cs"/>
          <w:rtl/>
        </w:rPr>
        <w:t>.</w:t>
      </w:r>
    </w:p>
    <w:p w14:paraId="1A572341" w14:textId="3E8B68B1" w:rsidR="002133F3" w:rsidRDefault="002133F3" w:rsidP="00E76AAF">
      <w:pPr>
        <w:rPr>
          <w:rtl/>
        </w:rPr>
      </w:pPr>
      <w:r>
        <w:rPr>
          <w:rFonts w:hint="cs"/>
          <w:rtl/>
        </w:rPr>
        <w:t>فما نجده هنا و</w:t>
      </w:r>
      <w:r w:rsidR="00227775">
        <w:rPr>
          <w:rFonts w:hint="cs"/>
          <w:rtl/>
        </w:rPr>
        <w:t xml:space="preserve">على </w:t>
      </w:r>
      <w:r>
        <w:rPr>
          <w:rFonts w:hint="cs"/>
          <w:rtl/>
        </w:rPr>
        <w:t xml:space="preserve">قدر فهمي </w:t>
      </w:r>
      <w:r w:rsidR="004E351B">
        <w:rPr>
          <w:rFonts w:hint="cs"/>
          <w:rtl/>
        </w:rPr>
        <w:t xml:space="preserve">هو </w:t>
      </w:r>
      <w:r w:rsidR="00C8528B">
        <w:rPr>
          <w:rFonts w:hint="cs"/>
          <w:rtl/>
        </w:rPr>
        <w:t>تناقض</w:t>
      </w:r>
      <w:r>
        <w:rPr>
          <w:rFonts w:hint="cs"/>
          <w:rtl/>
        </w:rPr>
        <w:t xml:space="preserve"> </w:t>
      </w:r>
      <w:r w:rsidR="004E351B">
        <w:rPr>
          <w:rFonts w:hint="cs"/>
          <w:rtl/>
        </w:rPr>
        <w:t>متعمد</w:t>
      </w:r>
      <w:r>
        <w:rPr>
          <w:rFonts w:hint="cs"/>
          <w:rtl/>
        </w:rPr>
        <w:t xml:space="preserve"> ما بين "الجميع" هنا و"الأمم" في العدد الذي قبله. اليهود كما والأمم كان قد أفضلت عليهم مهمة بولس بخبر ومعرفة "السر" الذي كشف عنه والذي كان موكلاً بصورة خاصة بأن يُظهره للجميع. والآن أنا لن أنشغل </w:t>
      </w:r>
      <w:r w:rsidR="00C8528B">
        <w:rPr>
          <w:rFonts w:hint="cs"/>
          <w:rtl/>
        </w:rPr>
        <w:t>بالحقل</w:t>
      </w:r>
      <w:r>
        <w:rPr>
          <w:rFonts w:hint="cs"/>
          <w:rtl/>
        </w:rPr>
        <w:t xml:space="preserve"> الأول، وإنما بالأخير في مهمته.</w:t>
      </w:r>
    </w:p>
    <w:p w14:paraId="18D2499A" w14:textId="5B1FA0E0" w:rsidR="002133F3" w:rsidRDefault="004E351B" w:rsidP="00E76AAF">
      <w:pPr>
        <w:rPr>
          <w:rtl/>
        </w:rPr>
      </w:pPr>
      <w:r>
        <w:rPr>
          <w:rFonts w:hint="cs"/>
          <w:rtl/>
        </w:rPr>
        <w:t xml:space="preserve">الجهل بالسر أيضًا من بعد عصر </w:t>
      </w:r>
      <w:r w:rsidR="00C8528B">
        <w:rPr>
          <w:rFonts w:hint="cs"/>
          <w:rtl/>
        </w:rPr>
        <w:t>الإصلاح</w:t>
      </w:r>
    </w:p>
    <w:p w14:paraId="03794A2A" w14:textId="428496AF" w:rsidR="004E351B" w:rsidRDefault="00514DB0" w:rsidP="00E76AAF">
      <w:pPr>
        <w:rPr>
          <w:rtl/>
        </w:rPr>
      </w:pPr>
      <w:r>
        <w:rPr>
          <w:rFonts w:hint="cs"/>
          <w:rtl/>
        </w:rPr>
        <w:t xml:space="preserve">للكثير من الناس سيبدو الادعاء متجاسرًا أو حتى لم يخطر على بال، بأن هذا الجانب من مأمورية الرسول بالنسبة لمعظم المسيحيين </w:t>
      </w:r>
      <w:r>
        <w:rPr>
          <w:rtl/>
        </w:rPr>
        <w:t>–</w:t>
      </w:r>
      <w:r>
        <w:rPr>
          <w:rFonts w:hint="cs"/>
          <w:rtl/>
        </w:rPr>
        <w:t xml:space="preserve"> متعلمين ومن عامة الناس </w:t>
      </w:r>
      <w:r>
        <w:rPr>
          <w:rtl/>
        </w:rPr>
        <w:t>–</w:t>
      </w:r>
      <w:r>
        <w:rPr>
          <w:rFonts w:hint="cs"/>
          <w:rtl/>
        </w:rPr>
        <w:t xml:space="preserve"> بقي دون تأثير إلى هذه الساعة. في فترة </w:t>
      </w:r>
      <w:r w:rsidR="00C8528B" w:rsidRPr="00C8528B">
        <w:rPr>
          <w:rtl/>
        </w:rPr>
        <w:t>الإصلاح</w:t>
      </w:r>
      <w:r w:rsidR="00C8528B" w:rsidRPr="00C8528B">
        <w:rPr>
          <w:rFonts w:hint="cs"/>
          <w:rtl/>
        </w:rPr>
        <w:t xml:space="preserve"> </w:t>
      </w:r>
      <w:r>
        <w:rPr>
          <w:rFonts w:hint="cs"/>
          <w:rtl/>
        </w:rPr>
        <w:t xml:space="preserve">(مهما كان عمل الله هذا عظيمًا ومباركًا لن </w:t>
      </w:r>
      <w:r w:rsidR="00C8528B">
        <w:rPr>
          <w:rFonts w:hint="cs"/>
          <w:rtl/>
        </w:rPr>
        <w:t>يوفيه</w:t>
      </w:r>
      <w:r>
        <w:rPr>
          <w:rFonts w:hint="cs"/>
          <w:rtl/>
        </w:rPr>
        <w:t xml:space="preserve"> شكرنا) تم استعادة الكثير من "غنى المسيح الذي لا يُستقصى" أمام الأنظار الذي </w:t>
      </w:r>
      <w:r w:rsidR="00A01B81">
        <w:rPr>
          <w:rFonts w:hint="cs"/>
          <w:rtl/>
        </w:rPr>
        <w:t>اعتراه</w:t>
      </w:r>
      <w:r>
        <w:rPr>
          <w:rFonts w:hint="cs"/>
          <w:rtl/>
        </w:rPr>
        <w:t xml:space="preserve"> صدأ الضلال البابوي تمامًا، </w:t>
      </w:r>
      <w:r w:rsidR="00A01B81">
        <w:rPr>
          <w:rFonts w:hint="cs"/>
          <w:rtl/>
        </w:rPr>
        <w:t xml:space="preserve">فتُرك هذا الجانب من الحق في ظلام دامس؛ وبحكمة الله التي لا تُستقصى بقي محفوظًا ليوم آخر "لشعب ضعيف" لينبش في الكلمة عن الكنز المدفون لمدة طويلة. وقد سُرّ الله في مطلق سيادته في سكب نعمته بأن يُحييه من جديد أو يجدده في اللحظة، بالطريقة وبالقدر الذي </w:t>
      </w:r>
      <w:r w:rsidR="00D6513A">
        <w:rPr>
          <w:rFonts w:hint="cs"/>
          <w:rtl/>
        </w:rPr>
        <w:t>ي</w:t>
      </w:r>
      <w:r w:rsidR="00A01B81">
        <w:rPr>
          <w:rFonts w:hint="cs"/>
          <w:rtl/>
        </w:rPr>
        <w:t>ستحسنه.</w:t>
      </w:r>
      <w:r w:rsidR="00D6513A">
        <w:rPr>
          <w:rFonts w:hint="cs"/>
          <w:rtl/>
        </w:rPr>
        <w:t xml:space="preserve"> عندما أسلم الله الناس</w:t>
      </w:r>
      <w:r w:rsidR="00E94953">
        <w:rPr>
          <w:rFonts w:hint="cs"/>
          <w:rtl/>
        </w:rPr>
        <w:t>َ</w:t>
      </w:r>
      <w:r w:rsidR="00D6513A">
        <w:rPr>
          <w:rFonts w:hint="cs"/>
          <w:rtl/>
        </w:rPr>
        <w:t xml:space="preserve"> </w:t>
      </w:r>
      <w:r w:rsidR="00D6513A">
        <w:rPr>
          <w:rtl/>
        </w:rPr>
        <w:t>–</w:t>
      </w:r>
      <w:r w:rsidR="00D6513A">
        <w:rPr>
          <w:rFonts w:hint="cs"/>
          <w:rtl/>
        </w:rPr>
        <w:t xml:space="preserve"> لأنهم لم يريدوا أن يبقوا الله أو حقه في معرفتهم </w:t>
      </w:r>
      <w:r w:rsidR="00D6513A">
        <w:rPr>
          <w:rtl/>
        </w:rPr>
        <w:t>–</w:t>
      </w:r>
      <w:r w:rsidR="00D6513A">
        <w:rPr>
          <w:rFonts w:hint="cs"/>
          <w:rtl/>
        </w:rPr>
        <w:t xml:space="preserve"> لحالة روحية فاسدة وكان عليهم أن يحصدوا ويعانوا لفترة من </w:t>
      </w:r>
      <w:r w:rsidR="00C8528B">
        <w:rPr>
          <w:rFonts w:hint="cs"/>
          <w:rtl/>
        </w:rPr>
        <w:t>نتاج</w:t>
      </w:r>
      <w:r w:rsidR="00D6513A">
        <w:rPr>
          <w:rFonts w:hint="cs"/>
          <w:rtl/>
        </w:rPr>
        <w:t xml:space="preserve"> عملهم، لم يكن ملزمًا ولا بأي حال بأن يجدد فيهم المعرفة وتقدير الحقائق التي أساؤوا قيامهم فيها. فإن سُرّ في تعاطفه المُحب وفي نعمة قلبه الطيب بأن يفعل هذا الأمر إلى حد ما، فإنه يختار وقته وآنيته؛ والأخيرة هي مَن اعتادوا أن يكونوا "</w:t>
      </w:r>
      <w:r w:rsidR="00C8228F">
        <w:rPr>
          <w:rFonts w:hint="cs"/>
          <w:rtl/>
        </w:rPr>
        <w:t>ضعفاء العالم" (1. كورنثوس 1: 27)، "</w:t>
      </w:r>
      <w:r w:rsidR="00C8228F" w:rsidRPr="00C8228F">
        <w:rPr>
          <w:rtl/>
        </w:rPr>
        <w:t xml:space="preserve"> أَوَانٍ خَزَفِيَّةٍ، لِيَكُونَ فَضْلُ الْقُوَّةِ ِللهِ</w:t>
      </w:r>
      <w:r w:rsidR="00C8228F">
        <w:rPr>
          <w:rFonts w:hint="cs"/>
          <w:rtl/>
        </w:rPr>
        <w:t>" (2. كورنثوس 4: 7).</w:t>
      </w:r>
    </w:p>
    <w:p w14:paraId="17B8406E" w14:textId="4E903949" w:rsidR="00E94953" w:rsidRDefault="00E94953" w:rsidP="00E76AAF">
      <w:pPr>
        <w:rPr>
          <w:rtl/>
        </w:rPr>
      </w:pPr>
      <w:r>
        <w:rPr>
          <w:rFonts w:hint="cs"/>
          <w:rtl/>
        </w:rPr>
        <w:t>إنه ليس استخفاف با</w:t>
      </w:r>
      <w:r w:rsidR="00C8528B" w:rsidRPr="00C8528B">
        <w:rPr>
          <w:rtl/>
        </w:rPr>
        <w:t>لإصلاح</w:t>
      </w:r>
      <w:r>
        <w:rPr>
          <w:rFonts w:hint="cs"/>
          <w:rtl/>
        </w:rPr>
        <w:t xml:space="preserve"> في أن نقول بأنهم استعادوا جزءً فقط من حقائق الكلمة التي طال فقدانها. لقد كانت سيادة النعمة المطلقة التي قادت الناس ليغوصوا في الحق إلى هذا المدى كما فعلوا في ذلك </w:t>
      </w:r>
      <w:r w:rsidR="00B850E3">
        <w:rPr>
          <w:rFonts w:hint="cs"/>
          <w:rtl/>
        </w:rPr>
        <w:t>الوقت؛ وكما</w:t>
      </w:r>
      <w:r>
        <w:rPr>
          <w:rFonts w:hint="cs"/>
          <w:rtl/>
        </w:rPr>
        <w:t xml:space="preserve"> أنها مطلق النعمة فقط التي في تلك الأزمنة المتأخرة اهتدت أفكار عدد كبير من أولاد الله بواسطة</w:t>
      </w:r>
      <w:r w:rsidR="00B94CEC">
        <w:rPr>
          <w:rFonts w:hint="cs"/>
          <w:rtl/>
        </w:rPr>
        <w:t xml:space="preserve"> آنية أخرى إلى حقائق أخرى في الكلمة التي لم تكن معروفة حينها. إن البحث في الموضوع أمامنا سيوضّح بشكل كاف بأننا نتعامل مع مادة ساد</w:t>
      </w:r>
      <w:r w:rsidR="00AE1486">
        <w:rPr>
          <w:rFonts w:hint="cs"/>
          <w:rtl/>
        </w:rPr>
        <w:t xml:space="preserve"> </w:t>
      </w:r>
      <w:r w:rsidR="00B94CEC">
        <w:rPr>
          <w:rFonts w:hint="cs"/>
          <w:rtl/>
        </w:rPr>
        <w:t xml:space="preserve">عليها </w:t>
      </w:r>
      <w:r w:rsidR="00144E43">
        <w:rPr>
          <w:rFonts w:hint="cs"/>
          <w:rtl/>
        </w:rPr>
        <w:t>ال</w:t>
      </w:r>
      <w:r w:rsidR="00AE1486">
        <w:rPr>
          <w:rFonts w:hint="cs"/>
          <w:rtl/>
        </w:rPr>
        <w:t>ظلام</w:t>
      </w:r>
      <w:r w:rsidR="00B94CEC">
        <w:rPr>
          <w:rFonts w:hint="cs"/>
          <w:rtl/>
        </w:rPr>
        <w:t xml:space="preserve"> </w:t>
      </w:r>
      <w:r w:rsidR="00AE1486">
        <w:rPr>
          <w:rFonts w:hint="cs"/>
          <w:rtl/>
        </w:rPr>
        <w:t>بأكملها</w:t>
      </w:r>
      <w:r w:rsidR="00B94CEC">
        <w:rPr>
          <w:rFonts w:hint="cs"/>
          <w:rtl/>
        </w:rPr>
        <w:t xml:space="preserve"> إن في كتب أصحاب </w:t>
      </w:r>
      <w:r w:rsidR="00144E43" w:rsidRPr="00144E43">
        <w:rPr>
          <w:rtl/>
        </w:rPr>
        <w:t>الإصلاح</w:t>
      </w:r>
      <w:r w:rsidR="00144E43" w:rsidRPr="00144E43">
        <w:rPr>
          <w:rFonts w:hint="cs"/>
          <w:rtl/>
        </w:rPr>
        <w:t xml:space="preserve"> </w:t>
      </w:r>
      <w:r w:rsidR="00B94CEC">
        <w:rPr>
          <w:rFonts w:hint="cs"/>
          <w:rtl/>
        </w:rPr>
        <w:t>أو في كتب جميع اللاهوتيين الذين أتوا من بعدهم.</w:t>
      </w:r>
    </w:p>
    <w:p w14:paraId="54DA4A15" w14:textId="4CC3E991" w:rsidR="00AE1486" w:rsidRDefault="00607F08" w:rsidP="00E76AAF">
      <w:pPr>
        <w:rPr>
          <w:rtl/>
        </w:rPr>
      </w:pPr>
      <w:r w:rsidRPr="00607F08">
        <w:rPr>
          <w:rtl/>
        </w:rPr>
        <w:t>تصحيح أخطاء الترجمة</w:t>
      </w:r>
    </w:p>
    <w:p w14:paraId="12E44282" w14:textId="3A8C16EA" w:rsidR="00607F08" w:rsidRDefault="00607F08" w:rsidP="00E76AAF">
      <w:pPr>
        <w:rPr>
          <w:rtl/>
        </w:rPr>
      </w:pPr>
      <w:r>
        <w:rPr>
          <w:rFonts w:hint="cs"/>
          <w:rtl/>
        </w:rPr>
        <w:t xml:space="preserve">النقطة الأولى التي يجب أن ننظر إليها متعلقة بالتقارير عن المقطع الذي </w:t>
      </w:r>
      <w:r w:rsidRPr="00144E43">
        <w:rPr>
          <w:rFonts w:hint="cs"/>
          <w:rtl/>
        </w:rPr>
        <w:t>ذكرناه</w:t>
      </w:r>
      <w:r>
        <w:rPr>
          <w:rFonts w:hint="cs"/>
          <w:rtl/>
        </w:rPr>
        <w:t>.</w:t>
      </w:r>
    </w:p>
    <w:p w14:paraId="648735C8" w14:textId="6D9EB069" w:rsidR="00144E43" w:rsidRDefault="00144E43" w:rsidP="00E76AAF">
      <w:pPr>
        <w:rPr>
          <w:rtl/>
          <w:lang w:bidi="ar-SA"/>
        </w:rPr>
      </w:pPr>
      <w:r>
        <w:rPr>
          <w:rFonts w:hint="cs"/>
          <w:rtl/>
        </w:rPr>
        <w:t xml:space="preserve">عندما يُفتح الباب للقارئ </w:t>
      </w:r>
      <w:r w:rsidR="00260877">
        <w:rPr>
          <w:rFonts w:hint="cs"/>
          <w:rtl/>
        </w:rPr>
        <w:t>على ا</w:t>
      </w:r>
      <w:r>
        <w:rPr>
          <w:rFonts w:hint="cs"/>
          <w:rtl/>
        </w:rPr>
        <w:t xml:space="preserve">لكتيب "نقد نصّي - </w:t>
      </w:r>
      <w:r w:rsidRPr="00144E43">
        <w:t>Textual Criticism</w:t>
      </w:r>
      <w:r>
        <w:rPr>
          <w:rFonts w:hint="cs"/>
          <w:rtl/>
          <w:lang w:bidi="ar-SA"/>
        </w:rPr>
        <w:t xml:space="preserve">"، الذي نشره </w:t>
      </w:r>
      <w:proofErr w:type="spellStart"/>
      <w:r>
        <w:rPr>
          <w:rFonts w:hint="cs"/>
          <w:rtl/>
          <w:lang w:bidi="ar-SA"/>
        </w:rPr>
        <w:t>باغستر</w:t>
      </w:r>
      <w:proofErr w:type="spellEnd"/>
      <w:r>
        <w:rPr>
          <w:rFonts w:hint="cs"/>
          <w:rtl/>
          <w:lang w:bidi="ar-SA"/>
        </w:rPr>
        <w:t xml:space="preserve"> (صفحة 56) سيرى بأن المقالات تحتوي جميعها في هذا الموضع من النص</w:t>
      </w:r>
      <w:r w:rsidR="00227775">
        <w:rPr>
          <w:rFonts w:hint="cs"/>
          <w:rtl/>
          <w:lang w:bidi="ar-SA"/>
        </w:rPr>
        <w:t xml:space="preserve"> على</w:t>
      </w:r>
      <w:r>
        <w:rPr>
          <w:rFonts w:hint="cs"/>
          <w:rtl/>
          <w:lang w:bidi="ar-SA"/>
        </w:rPr>
        <w:t xml:space="preserve"> كلمة "مشاركة" أو "تدبير" (</w:t>
      </w:r>
      <w:proofErr w:type="spellStart"/>
      <w:r w:rsidRPr="00144E43">
        <w:rPr>
          <w:lang w:bidi="ar-SA"/>
        </w:rPr>
        <w:t>oikonomia</w:t>
      </w:r>
      <w:proofErr w:type="spellEnd"/>
      <w:r>
        <w:rPr>
          <w:rFonts w:hint="cs"/>
          <w:rtl/>
          <w:lang w:bidi="ar-SA"/>
        </w:rPr>
        <w:t>) بدلاً من "شركة" (</w:t>
      </w:r>
      <w:r w:rsidRPr="00144E43">
        <w:rPr>
          <w:lang w:bidi="ar-SA"/>
        </w:rPr>
        <w:t>koinonia</w:t>
      </w:r>
      <w:r>
        <w:rPr>
          <w:rFonts w:hint="cs"/>
          <w:rtl/>
          <w:lang w:bidi="ar-SA"/>
        </w:rPr>
        <w:t>)</w:t>
      </w:r>
      <w:r>
        <w:rPr>
          <w:rStyle w:val="FootnoteReference"/>
          <w:rtl/>
          <w:lang w:bidi="ar-SA"/>
        </w:rPr>
        <w:footnoteReference w:id="2"/>
      </w:r>
      <w:r>
        <w:rPr>
          <w:rFonts w:hint="cs"/>
          <w:rtl/>
          <w:lang w:bidi="ar-SA"/>
        </w:rPr>
        <w:t>، كما وأنه سيجد "مشاركة" (</w:t>
      </w:r>
      <w:r w:rsidRPr="00144E43">
        <w:rPr>
          <w:lang w:bidi="ar-SA"/>
        </w:rPr>
        <w:t>dispensation</w:t>
      </w:r>
      <w:r>
        <w:rPr>
          <w:rFonts w:hint="cs"/>
          <w:rtl/>
          <w:lang w:bidi="ar-SA"/>
        </w:rPr>
        <w:t xml:space="preserve">) في ترجمات أفورد، </w:t>
      </w:r>
      <w:proofErr w:type="spellStart"/>
      <w:r>
        <w:rPr>
          <w:rFonts w:hint="cs"/>
          <w:rtl/>
          <w:lang w:bidi="ar-SA"/>
        </w:rPr>
        <w:t>بوثرويد</w:t>
      </w:r>
      <w:proofErr w:type="spellEnd"/>
      <w:r>
        <w:rPr>
          <w:rFonts w:hint="cs"/>
          <w:rtl/>
          <w:lang w:bidi="ar-SA"/>
        </w:rPr>
        <w:t xml:space="preserve">، </w:t>
      </w:r>
      <w:proofErr w:type="spellStart"/>
      <w:r>
        <w:rPr>
          <w:rFonts w:hint="cs"/>
          <w:rtl/>
          <w:lang w:bidi="ar-SA"/>
        </w:rPr>
        <w:t>إيليكوت</w:t>
      </w:r>
      <w:proofErr w:type="spellEnd"/>
      <w:r>
        <w:rPr>
          <w:rFonts w:hint="cs"/>
          <w:rtl/>
          <w:lang w:bidi="ar-SA"/>
        </w:rPr>
        <w:t xml:space="preserve">، </w:t>
      </w:r>
      <w:proofErr w:type="spellStart"/>
      <w:r>
        <w:rPr>
          <w:rFonts w:hint="cs"/>
          <w:rtl/>
          <w:lang w:bidi="ar-SA"/>
        </w:rPr>
        <w:t>دافيدسون</w:t>
      </w:r>
      <w:proofErr w:type="spellEnd"/>
      <w:r>
        <w:rPr>
          <w:rFonts w:hint="cs"/>
          <w:rtl/>
          <w:lang w:bidi="ar-SA"/>
        </w:rPr>
        <w:t xml:space="preserve"> وداربي؛ "إشراف" (</w:t>
      </w:r>
      <w:r w:rsidR="00260877" w:rsidRPr="00260877">
        <w:rPr>
          <w:lang w:bidi="ar-SA"/>
        </w:rPr>
        <w:t>stewardship</w:t>
      </w:r>
      <w:r>
        <w:rPr>
          <w:rFonts w:hint="cs"/>
          <w:rtl/>
          <w:lang w:bidi="ar-SA"/>
        </w:rPr>
        <w:t>)</w:t>
      </w:r>
      <w:r w:rsidR="00260877">
        <w:rPr>
          <w:rFonts w:hint="cs"/>
          <w:rtl/>
          <w:lang w:bidi="ar-SA"/>
        </w:rPr>
        <w:t xml:space="preserve"> في </w:t>
      </w:r>
      <w:hyperlink r:id="rId7" w:anchor=":~:text=%E2%80%9EVerwaltung%E2%80%9C%20%5Badministration%5D" w:history="1">
        <w:r w:rsidR="00260877" w:rsidRPr="00260877">
          <w:rPr>
            <w:rStyle w:val="Hyperlink"/>
            <w:rFonts w:hint="cs"/>
            <w:rtl/>
            <w:lang w:bidi="ar-SA"/>
          </w:rPr>
          <w:t>غرين</w:t>
        </w:r>
      </w:hyperlink>
      <w:r w:rsidR="00260877">
        <w:rPr>
          <w:rFonts w:hint="cs"/>
          <w:rtl/>
          <w:lang w:bidi="ar-SA"/>
        </w:rPr>
        <w:t xml:space="preserve">؛ </w:t>
      </w:r>
    </w:p>
    <w:sectPr w:rsidR="00144E43" w:rsidSect="00E03FA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14ED3" w14:textId="77777777" w:rsidR="00755F5A" w:rsidRDefault="00755F5A" w:rsidP="002133F3">
      <w:pPr>
        <w:spacing w:after="0" w:line="240" w:lineRule="auto"/>
      </w:pPr>
      <w:r>
        <w:separator/>
      </w:r>
    </w:p>
  </w:endnote>
  <w:endnote w:type="continuationSeparator" w:id="0">
    <w:p w14:paraId="14BF7AE8" w14:textId="77777777" w:rsidR="00755F5A" w:rsidRDefault="00755F5A" w:rsidP="00213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790D" w14:textId="77777777" w:rsidR="00755F5A" w:rsidRDefault="00755F5A" w:rsidP="002133F3">
      <w:pPr>
        <w:spacing w:after="0" w:line="240" w:lineRule="auto"/>
      </w:pPr>
      <w:r>
        <w:separator/>
      </w:r>
    </w:p>
  </w:footnote>
  <w:footnote w:type="continuationSeparator" w:id="0">
    <w:p w14:paraId="34F8BD18" w14:textId="77777777" w:rsidR="00755F5A" w:rsidRDefault="00755F5A" w:rsidP="002133F3">
      <w:pPr>
        <w:spacing w:after="0" w:line="240" w:lineRule="auto"/>
      </w:pPr>
      <w:r>
        <w:continuationSeparator/>
      </w:r>
    </w:p>
  </w:footnote>
  <w:footnote w:id="1">
    <w:p w14:paraId="42F928CA" w14:textId="4042CA39" w:rsidR="002133F3" w:rsidRPr="002133F3" w:rsidRDefault="002133F3">
      <w:pPr>
        <w:pStyle w:val="FootnoteText"/>
        <w:rPr>
          <w:b/>
          <w:bCs/>
          <w:sz w:val="26"/>
          <w:szCs w:val="26"/>
        </w:rPr>
      </w:pPr>
      <w:r w:rsidRPr="002133F3">
        <w:rPr>
          <w:rStyle w:val="FootnoteReference"/>
          <w:b/>
          <w:bCs/>
          <w:sz w:val="26"/>
          <w:szCs w:val="26"/>
        </w:rPr>
        <w:footnoteRef/>
      </w:r>
      <w:r w:rsidRPr="002133F3">
        <w:rPr>
          <w:b/>
          <w:bCs/>
          <w:sz w:val="26"/>
          <w:szCs w:val="26"/>
          <w:rtl/>
        </w:rPr>
        <w:t xml:space="preserve"> </w:t>
      </w:r>
    </w:p>
  </w:footnote>
  <w:footnote w:id="2">
    <w:p w14:paraId="5D467DE3" w14:textId="7BCAF4F3" w:rsidR="00144E43" w:rsidRPr="00144E43" w:rsidRDefault="00144E43">
      <w:pPr>
        <w:pStyle w:val="FootnoteText"/>
        <w:rPr>
          <w:b/>
          <w:bCs/>
          <w:sz w:val="26"/>
          <w:szCs w:val="26"/>
        </w:rPr>
      </w:pPr>
      <w:r w:rsidRPr="00144E43">
        <w:rPr>
          <w:rStyle w:val="FootnoteReference"/>
          <w:b/>
          <w:bCs/>
          <w:sz w:val="26"/>
          <w:szCs w:val="26"/>
        </w:rPr>
        <w:footnoteRef/>
      </w:r>
      <w:r w:rsidRPr="00144E43">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F27"/>
    <w:rsid w:val="00144E43"/>
    <w:rsid w:val="002133F3"/>
    <w:rsid w:val="00227775"/>
    <w:rsid w:val="00260877"/>
    <w:rsid w:val="00456A41"/>
    <w:rsid w:val="004D54CF"/>
    <w:rsid w:val="004E351B"/>
    <w:rsid w:val="00514DB0"/>
    <w:rsid w:val="0053287F"/>
    <w:rsid w:val="00570506"/>
    <w:rsid w:val="00607F08"/>
    <w:rsid w:val="0066336E"/>
    <w:rsid w:val="006D0513"/>
    <w:rsid w:val="00755F5A"/>
    <w:rsid w:val="007C3AF1"/>
    <w:rsid w:val="00A01B81"/>
    <w:rsid w:val="00AE1486"/>
    <w:rsid w:val="00B850E3"/>
    <w:rsid w:val="00B94CEC"/>
    <w:rsid w:val="00BE011D"/>
    <w:rsid w:val="00C60390"/>
    <w:rsid w:val="00C62FAB"/>
    <w:rsid w:val="00C8228F"/>
    <w:rsid w:val="00C8528B"/>
    <w:rsid w:val="00D6513A"/>
    <w:rsid w:val="00D82F27"/>
    <w:rsid w:val="00E03FA1"/>
    <w:rsid w:val="00E51274"/>
    <w:rsid w:val="00E76AAF"/>
    <w:rsid w:val="00E949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38F66"/>
  <w15:chartTrackingRefBased/>
  <w15:docId w15:val="{00CB5C33-4CA8-486A-9B2D-72B254D5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2F27"/>
    <w:rPr>
      <w:color w:val="0563C1" w:themeColor="hyperlink"/>
      <w:u w:val="single"/>
    </w:rPr>
  </w:style>
  <w:style w:type="character" w:styleId="UnresolvedMention">
    <w:name w:val="Unresolved Mention"/>
    <w:basedOn w:val="DefaultParagraphFont"/>
    <w:uiPriority w:val="99"/>
    <w:semiHidden/>
    <w:unhideWhenUsed/>
    <w:rsid w:val="00D82F27"/>
    <w:rPr>
      <w:color w:val="605E5C"/>
      <w:shd w:val="clear" w:color="auto" w:fill="E1DFDD"/>
    </w:rPr>
  </w:style>
  <w:style w:type="paragraph" w:styleId="FootnoteText">
    <w:name w:val="footnote text"/>
    <w:basedOn w:val="Normal"/>
    <w:link w:val="FootnoteTextChar"/>
    <w:uiPriority w:val="99"/>
    <w:semiHidden/>
    <w:unhideWhenUsed/>
    <w:rsid w:val="002133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133F3"/>
    <w:rPr>
      <w:noProof/>
      <w:sz w:val="20"/>
      <w:szCs w:val="20"/>
      <w:lang w:bidi="ar-EG"/>
    </w:rPr>
  </w:style>
  <w:style w:type="character" w:styleId="FootnoteReference">
    <w:name w:val="footnote reference"/>
    <w:basedOn w:val="DefaultParagraphFont"/>
    <w:uiPriority w:val="99"/>
    <w:semiHidden/>
    <w:unhideWhenUsed/>
    <w:rsid w:val="002133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oundwords.de/das-geheimnis-1-a2769.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C9D11-AAE2-496A-B45D-96CE55C0C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Osama Slaieh</cp:lastModifiedBy>
  <cp:revision>13</cp:revision>
  <dcterms:created xsi:type="dcterms:W3CDTF">2023-03-12T20:16:00Z</dcterms:created>
  <dcterms:modified xsi:type="dcterms:W3CDTF">2026-03-23T14:08:00Z</dcterms:modified>
</cp:coreProperties>
</file>