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92A49" w14:textId="685964BE" w:rsidR="00BE011D" w:rsidRDefault="00000000">
      <w:pPr>
        <w:rPr>
          <w:rtl/>
        </w:rPr>
      </w:pPr>
      <w:hyperlink r:id="rId4" w:anchor=":~:text=-%20n%C3%A4mlich%20den%20Tod%20des%20Erstgeborenen,eine%20inspirierte%20Auslegung%20gegeben%3A" w:history="1">
        <w:r w:rsidR="0025341F" w:rsidRPr="0025341F">
          <w:rPr>
            <w:rStyle w:val="Hyperlink"/>
            <w:rFonts w:hint="cs"/>
            <w:rtl/>
          </w:rPr>
          <w:t>في حِمى الدم</w:t>
        </w:r>
      </w:hyperlink>
    </w:p>
    <w:p w14:paraId="28F29613" w14:textId="2045FA46" w:rsidR="0025341F" w:rsidRDefault="0025341F">
      <w:pPr>
        <w:rPr>
          <w:rtl/>
        </w:rPr>
      </w:pPr>
      <w:r>
        <w:rPr>
          <w:rFonts w:hint="cs"/>
          <w:rtl/>
        </w:rPr>
        <w:t xml:space="preserve">خروج 12: 1 </w:t>
      </w:r>
      <w:r>
        <w:rPr>
          <w:rtl/>
        </w:rPr>
        <w:t>–</w:t>
      </w:r>
      <w:r>
        <w:rPr>
          <w:rFonts w:hint="cs"/>
          <w:rtl/>
        </w:rPr>
        <w:t xml:space="preserve"> 36</w:t>
      </w:r>
    </w:p>
    <w:p w14:paraId="5D52DF6D" w14:textId="0EBD8390" w:rsidR="0025341F" w:rsidRDefault="0025341F" w:rsidP="0025341F">
      <w:pPr>
        <w:bidi w:val="0"/>
        <w:rPr>
          <w:rtl/>
        </w:rPr>
      </w:pPr>
      <w:r w:rsidRPr="0025341F">
        <w:t>F. W. Grant</w:t>
      </w:r>
    </w:p>
    <w:p w14:paraId="61FC0C70" w14:textId="539A2DEA" w:rsidR="0025341F" w:rsidRDefault="00B81C4C">
      <w:pPr>
        <w:rPr>
          <w:rtl/>
        </w:rPr>
      </w:pPr>
      <w:r w:rsidRPr="00B81C4C">
        <w:rPr>
          <w:rtl/>
        </w:rPr>
        <w:t xml:space="preserve">لا بد لي من الاكتفاء بالملاحظات الموجزة التي أدليت بها في نهاية المحاضرة السابقة حول تاريخ </w:t>
      </w:r>
      <w:r>
        <w:rPr>
          <w:rFonts w:hint="cs"/>
          <w:rtl/>
        </w:rPr>
        <w:t>ضربات</w:t>
      </w:r>
      <w:r w:rsidRPr="00B81C4C">
        <w:rPr>
          <w:rtl/>
        </w:rPr>
        <w:t xml:space="preserve"> مصر، من أجل الوصول إلى </w:t>
      </w:r>
      <w:r>
        <w:rPr>
          <w:rFonts w:hint="cs"/>
          <w:rtl/>
        </w:rPr>
        <w:t>الضربة</w:t>
      </w:r>
      <w:r w:rsidRPr="00B81C4C">
        <w:rPr>
          <w:rtl/>
        </w:rPr>
        <w:t xml:space="preserve"> الأخيرة، والتي نجد</w:t>
      </w:r>
      <w:r>
        <w:rPr>
          <w:rFonts w:hint="cs"/>
          <w:rtl/>
        </w:rPr>
        <w:t xml:space="preserve"> ممثّل</w:t>
      </w:r>
      <w:r w:rsidRPr="00B81C4C">
        <w:rPr>
          <w:rtl/>
        </w:rPr>
        <w:t xml:space="preserve"> فيها ما هو أكثر أو أقل وضوحًا لكل</w:t>
      </w:r>
      <w:r>
        <w:rPr>
          <w:rFonts w:hint="cs"/>
          <w:rtl/>
        </w:rPr>
        <w:t xml:space="preserve"> قلب</w:t>
      </w:r>
      <w:r w:rsidRPr="00B81C4C">
        <w:rPr>
          <w:rtl/>
        </w:rPr>
        <w:t xml:space="preserve"> مسيحي</w:t>
      </w:r>
      <w:r>
        <w:rPr>
          <w:rFonts w:hint="cs"/>
          <w:rtl/>
        </w:rPr>
        <w:t xml:space="preserve"> متأمل.</w:t>
      </w:r>
      <w:r w:rsidRPr="00B81C4C">
        <w:rPr>
          <w:rtl/>
        </w:rPr>
        <w:t xml:space="preserve"> - أي موت البكر وخلاص الله منه بدم الفصح.</w:t>
      </w:r>
    </w:p>
    <w:p w14:paraId="266EC147" w14:textId="59D3D2EE" w:rsidR="00B81C4C" w:rsidRDefault="00B81C4C">
      <w:pPr>
        <w:rPr>
          <w:rtl/>
        </w:rPr>
      </w:pPr>
      <w:r>
        <w:rPr>
          <w:rFonts w:hint="cs"/>
          <w:rtl/>
        </w:rPr>
        <w:t xml:space="preserve">لقد سلمنا الرسول عن ذلك تفسيرًا موحى به: 1. كورنثوس 5: 7 </w:t>
      </w:r>
      <w:r>
        <w:rPr>
          <w:rtl/>
        </w:rPr>
        <w:t>–</w:t>
      </w:r>
      <w:r>
        <w:rPr>
          <w:rFonts w:hint="cs"/>
          <w:rtl/>
        </w:rPr>
        <w:t xml:space="preserve"> 8. فالرسول </w:t>
      </w:r>
      <w:r w:rsidR="00637252" w:rsidRPr="00637252">
        <w:rPr>
          <w:rtl/>
        </w:rPr>
        <w:t xml:space="preserve">طبعًا </w:t>
      </w:r>
      <w:r>
        <w:rPr>
          <w:rFonts w:hint="cs"/>
          <w:rtl/>
        </w:rPr>
        <w:t>في ذلك كان كلامه بخصوص</w:t>
      </w:r>
      <w:r w:rsidR="00547539">
        <w:rPr>
          <w:rFonts w:hint="cs"/>
          <w:rtl/>
        </w:rPr>
        <w:t xml:space="preserve"> الاحتفال المسيحي بالذكرى الذي يختلف عن عيد الفصح في بعض النقاط. إننا سنتأمل في ذلك لاحقًا. إني لست على علمٍ بأنه ذُكر عن أي عيد في مصر إطلاقًا. ربما الظروف كانت قاسية على فعل ذلك. كما وعلينا أن نتذكر بأنه كان ينبغي الاحتفال بعيد الرب في البرية. فمهما كانت تفاصيل ذلك إلا أنه من المؤكد بأن الحمل يمثّل المسيح، تمامًا كما أن الدم الذي حماهم يرمز إلى دم الصليب. إن الدم حمى الشعب من الدينونة حتى أنها لم تمسهم بأذى حينما وقعت. في هذه الضربة الأخيرة كان على الشعب أن يكون متيقنًا بمكانته المقدسة أمام الله. بحسب طبيعتهم كانوا معرّضين لدينونة الله مثل المصريين تمامًا. ولم يكن ينبغي أن يواجهوا</w:t>
      </w:r>
      <w:r w:rsidR="00142A3E">
        <w:rPr>
          <w:rFonts w:hint="cs"/>
          <w:rtl/>
        </w:rPr>
        <w:t xml:space="preserve"> أية ضربة أقل من المصريين، وإنما الموت بحد ذاته الذي هو حكم الله على جميع الناس كما ورمز المصير المحتوم من بعد هذه الحياة. لقد كان لا بد وأن يواجهوا الموت وأن يجتازوا فيه ويتركونه وراءهم قبل أن ينالوا حريتهم من العبودية المصرية</w:t>
      </w:r>
      <w:r w:rsidR="006B7FEA">
        <w:rPr>
          <w:rFonts w:hint="cs"/>
          <w:rtl/>
        </w:rPr>
        <w:t xml:space="preserve"> أو أن تترك أقدامهم الأراضي المصرية. لقد كان عليهم أن يصنعوا الفصح في مصر وهذا الأمر يُلفت انتباهنا إليه العدد الأول من هذا الإصحاح: خروج 12: 1. من جانب الشعب إلى تلك اللحظة لم يحدث أي تطوّر. بلا شك أن الله كان دائمًا يتقدم إلى الأمام فيما يتعلق بتتميم مشوراته من جهة خلاصهم</w:t>
      </w:r>
      <w:r w:rsidR="0054634A">
        <w:rPr>
          <w:rFonts w:hint="cs"/>
          <w:rtl/>
        </w:rPr>
        <w:t>. لكن من جهتهم فلقد كانوا تمامًا في المكان حيث أيضًا كان الجميع</w:t>
      </w:r>
      <w:r w:rsidR="00637252">
        <w:rPr>
          <w:rFonts w:hint="cs"/>
          <w:rtl/>
        </w:rPr>
        <w:t xml:space="preserve"> تنتظرهم رحمة </w:t>
      </w:r>
      <w:r w:rsidR="00637252" w:rsidRPr="00037512">
        <w:rPr>
          <w:rFonts w:hint="cs"/>
          <w:rtl/>
        </w:rPr>
        <w:t>الله</w:t>
      </w:r>
      <w:r w:rsidR="00037512">
        <w:rPr>
          <w:rFonts w:hint="cs"/>
          <w:rtl/>
        </w:rPr>
        <w:t>. "الشعب الذي في الظلمة رأى نورًا عظيمًا ..."</w:t>
      </w:r>
    </w:p>
    <w:p w14:paraId="486A9D78" w14:textId="71219A1E" w:rsidR="00037512" w:rsidRDefault="00037512">
      <w:pPr>
        <w:rPr>
          <w:rtl/>
        </w:rPr>
      </w:pPr>
      <w:r>
        <w:rPr>
          <w:rFonts w:hint="cs"/>
          <w:rtl/>
        </w:rPr>
        <w:t xml:space="preserve">في هذه الحالة من الممكن أن بُذلت الكثير من الجهود وكانت هنالك اختبارات من نوعية خاصة </w:t>
      </w:r>
      <w:r w:rsidR="007F216B">
        <w:rPr>
          <w:rFonts w:hint="cs"/>
          <w:rtl/>
        </w:rPr>
        <w:t>و</w:t>
      </w:r>
      <w:r>
        <w:rPr>
          <w:rFonts w:hint="cs"/>
          <w:rtl/>
        </w:rPr>
        <w:t>بكل تأكيد أيضًا جهود كبيرة ليساعدوا أنفسهم، لكن كل هذا يؤكّد فقط على أنه لم يكن من الممكن أن يكون هنالك تقدم في طرق الله أو في الاتجاه إلى الله إلى أن يتم الوصول إلى حِمى الصليب وإدراكه. إنهم جالسون في ظلمة وحافظوا على صنعهم الفصح في أرض مصر، في أرض العبودية.</w:t>
      </w:r>
    </w:p>
    <w:p w14:paraId="0E012ABC" w14:textId="4ED80766" w:rsidR="007F216B" w:rsidRDefault="007F216B">
      <w:pPr>
        <w:rPr>
          <w:rtl/>
        </w:rPr>
      </w:pPr>
      <w:r>
        <w:rPr>
          <w:rFonts w:hint="cs"/>
          <w:rtl/>
        </w:rPr>
        <w:t>في الخبر الإلهي التالي يُعبّر عن ذلك بطريقة أخرى: "وكلم الرب موسى وهارون في أرض مصر قائلاً: هذا الشهر سيكون لكم رأس الشهور، وسيكون لكم أول شهور السنة."</w:t>
      </w:r>
    </w:p>
    <w:p w14:paraId="40DCC91C" w14:textId="5C2BA834" w:rsidR="007F216B" w:rsidRDefault="007F216B">
      <w:pPr>
        <w:rPr>
          <w:rtl/>
        </w:rPr>
      </w:pPr>
      <w:r>
        <w:rPr>
          <w:rFonts w:hint="cs"/>
          <w:rtl/>
        </w:rPr>
        <w:t xml:space="preserve">إن شهور السنة التالية ستُمسح نوعًا ما وسيبدأ الله معهم في شهر الفصح من جديد. إنها نعمة التي فتحت المجال لهم في هذه البداية الجديدة ولا يمكن أن يُعمَل أفضل من أن يُمحى الماضي من الوجود. هكذا هو الأمر مع ماضينا إلى أن يُعرَف ما هو مثال الفصح. بلا شك أن تاريخنا الماضي له منفعته كدرس لنا، وفي هذا المفهوم لم </w:t>
      </w:r>
      <w:r w:rsidR="00B12371">
        <w:rPr>
          <w:rFonts w:hint="cs"/>
          <w:rtl/>
        </w:rPr>
        <w:t>يُفقد</w:t>
      </w:r>
      <w:r>
        <w:rPr>
          <w:rFonts w:hint="cs"/>
          <w:rtl/>
        </w:rPr>
        <w:t xml:space="preserve"> كل شيء. هل فعلاً سيحدث هذا مع الجميع</w:t>
      </w:r>
      <w:r w:rsidR="00B12371">
        <w:rPr>
          <w:rFonts w:hint="cs"/>
          <w:rtl/>
        </w:rPr>
        <w:t xml:space="preserve"> بالأخص فيما يتعلق بتاريخ العالم؟ إن كل شيء سيكون له تعليمه الأدبي في يوم الظهور القادم. بدلاً من أن ننساه سيكون لمنفعتنا لكل </w:t>
      </w:r>
      <w:hyperlink r:id="rId5" w:anchor=":~:text=zum%20Gewinn%20sein.-,Aber%20wenn%20es%20hei%C3%9Ft%2C,-dass%20%E2%80%9Eihrer%20%5Bder" w:history="1">
        <w:r w:rsidR="00B12371" w:rsidRPr="00AD5A57">
          <w:rPr>
            <w:rStyle w:val="Hyperlink"/>
            <w:rFonts w:hint="cs"/>
            <w:rtl/>
          </w:rPr>
          <w:t>المدى</w:t>
        </w:r>
      </w:hyperlink>
      <w:r w:rsidR="00B12371">
        <w:rPr>
          <w:rFonts w:hint="cs"/>
          <w:rtl/>
        </w:rPr>
        <w:t xml:space="preserve">. </w:t>
      </w:r>
    </w:p>
    <w:p w14:paraId="4550C8BC" w14:textId="77777777" w:rsidR="00037512" w:rsidRDefault="00037512"/>
    <w:sectPr w:rsidR="00037512"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41F"/>
    <w:rsid w:val="00037512"/>
    <w:rsid w:val="00142A3E"/>
    <w:rsid w:val="0025341F"/>
    <w:rsid w:val="0054634A"/>
    <w:rsid w:val="00547539"/>
    <w:rsid w:val="00637252"/>
    <w:rsid w:val="006B7FEA"/>
    <w:rsid w:val="007F216B"/>
    <w:rsid w:val="00AD5A57"/>
    <w:rsid w:val="00B12371"/>
    <w:rsid w:val="00B81C4C"/>
    <w:rsid w:val="00BE011D"/>
    <w:rsid w:val="00C6505E"/>
    <w:rsid w:val="00E03FA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3FE8A"/>
  <w15:chartTrackingRefBased/>
  <w15:docId w15:val="{3A7D97FA-98ED-406A-BAA3-EF7C7ECF4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341F"/>
    <w:rPr>
      <w:color w:val="0563C1" w:themeColor="hyperlink"/>
      <w:u w:val="single"/>
    </w:rPr>
  </w:style>
  <w:style w:type="character" w:styleId="UnresolvedMention">
    <w:name w:val="Unresolved Mention"/>
    <w:basedOn w:val="DefaultParagraphFont"/>
    <w:uiPriority w:val="99"/>
    <w:semiHidden/>
    <w:unhideWhenUsed/>
    <w:rsid w:val="0025341F"/>
    <w:rPr>
      <w:color w:val="605E5C"/>
      <w:shd w:val="clear" w:color="auto" w:fill="E1DFDD"/>
    </w:rPr>
  </w:style>
  <w:style w:type="character" w:styleId="FollowedHyperlink">
    <w:name w:val="FollowedHyperlink"/>
    <w:basedOn w:val="DefaultParagraphFont"/>
    <w:uiPriority w:val="99"/>
    <w:semiHidden/>
    <w:unhideWhenUsed/>
    <w:rsid w:val="000375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studium.de/articles/259/unter-dem-schutz-des-blutes.html" TargetMode="External"/><Relationship Id="rId4" Type="http://schemas.openxmlformats.org/officeDocument/2006/relationships/hyperlink" Target="https://www.bibelstudium.de/articles/259/unter-dem-schutz-des-blut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494</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5</cp:revision>
  <dcterms:created xsi:type="dcterms:W3CDTF">2023-05-14T08:50:00Z</dcterms:created>
  <dcterms:modified xsi:type="dcterms:W3CDTF">2023-05-14T20:16:00Z</dcterms:modified>
</cp:coreProperties>
</file>