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1F4E" w14:textId="77777777" w:rsidR="00AF6FE2" w:rsidRDefault="000C4EFC" w:rsidP="000C4EFC">
      <w:pPr>
        <w:bidi/>
        <w:jc w:val="both"/>
        <w:rPr>
          <w:rtl/>
          <w:lang w:bidi="ar-SA"/>
        </w:rPr>
      </w:pPr>
      <w:r>
        <w:fldChar w:fldCharType="begin"/>
      </w:r>
      <w:r>
        <w:instrText>HYPERLINK "https://www.bibelkommentare.de/kommentare/742/das-bild-gesunder-worte"</w:instrText>
      </w:r>
      <w:r>
        <w:fldChar w:fldCharType="separate"/>
      </w:r>
      <w:r w:rsidRPr="000C4EFC">
        <w:rPr>
          <w:rStyle w:val="Hyperlink"/>
          <w:rFonts w:hint="cs"/>
          <w:rtl/>
          <w:lang w:bidi="ar-SA"/>
        </w:rPr>
        <w:t>صورة التعليم الصحيح</w:t>
      </w:r>
      <w:r>
        <w:fldChar w:fldCharType="end"/>
      </w:r>
    </w:p>
    <w:p w14:paraId="7437B33F" w14:textId="77777777" w:rsidR="000C4EFC" w:rsidRDefault="000C4EFC" w:rsidP="000C4EFC">
      <w:pPr>
        <w:jc w:val="both"/>
        <w:rPr>
          <w:rtl/>
          <w:lang w:bidi="ar-SA"/>
        </w:rPr>
      </w:pPr>
      <w:r w:rsidRPr="000C4EFC">
        <w:rPr>
          <w:lang w:bidi="ar-SA"/>
        </w:rPr>
        <w:t>Frank Binford Hole</w:t>
      </w:r>
    </w:p>
    <w:p w14:paraId="17E475C5" w14:textId="77777777" w:rsidR="00BD65B6" w:rsidRDefault="004A5582" w:rsidP="000C4EFC">
      <w:pPr>
        <w:bidi/>
        <w:jc w:val="both"/>
        <w:rPr>
          <w:rtl/>
          <w:lang w:bidi="ar-SA"/>
        </w:rPr>
        <w:sectPr w:rsidR="00BD65B6">
          <w:pgSz w:w="12240" w:h="15840"/>
          <w:pgMar w:top="1440" w:right="1800" w:bottom="1440" w:left="1800" w:header="720" w:footer="720" w:gutter="0"/>
          <w:cols w:space="720"/>
          <w:docGrid w:linePitch="360"/>
        </w:sectPr>
      </w:pPr>
      <w:r>
        <w:rPr>
          <w:rFonts w:hint="cs"/>
          <w:rtl/>
          <w:lang w:bidi="ar-SA"/>
        </w:rPr>
        <w:t>الفصول التالية تسلمنا نظرة عامة مختصرة عن حقائق كتابية متعلقة بأسس المسيحية. إننا لن نتمكن من تقدير مركزنا أو مقامنا أمام الله فعلاً إن لم نفهم هذه المواضيع الهامة. يا ليت الرب يباركنا جميعًا بهذا التأمل وليوقظ فينا تقديرًا أكبر لربنا ومخلصنا يسوع المسيح.</w:t>
      </w:r>
    </w:p>
    <w:p w14:paraId="3286C00A" w14:textId="77777777" w:rsidR="000C4EFC" w:rsidRDefault="00BD65B6" w:rsidP="000C4EFC">
      <w:pPr>
        <w:bidi/>
        <w:jc w:val="both"/>
        <w:rPr>
          <w:rtl/>
          <w:lang w:bidi="ar-SA"/>
        </w:rPr>
      </w:pPr>
      <w:r>
        <w:rPr>
          <w:rFonts w:hint="cs"/>
          <w:rtl/>
          <w:lang w:bidi="ar-SA"/>
        </w:rPr>
        <w:t>الفصل 1: إيمان وأعمال</w:t>
      </w:r>
    </w:p>
    <w:p w14:paraId="7681FF52" w14:textId="77777777" w:rsidR="00BD65B6" w:rsidRDefault="00BD65B6" w:rsidP="00BD65B6">
      <w:pPr>
        <w:bidi/>
        <w:jc w:val="both"/>
        <w:rPr>
          <w:rtl/>
          <w:lang w:bidi="ar-SA"/>
        </w:rPr>
      </w:pPr>
      <w:r>
        <w:rPr>
          <w:rFonts w:hint="cs"/>
          <w:rtl/>
          <w:lang w:bidi="ar-SA"/>
        </w:rPr>
        <w:t xml:space="preserve">الكثير من الناس يعتقدون بأنه لا يمكن التوفيق ما بين الإيمان والأعمال في المسيحية </w:t>
      </w:r>
      <w:r>
        <w:rPr>
          <w:rtl/>
          <w:lang w:bidi="ar-SA"/>
        </w:rPr>
        <w:t>–</w:t>
      </w:r>
      <w:r>
        <w:rPr>
          <w:rFonts w:hint="cs"/>
          <w:rtl/>
          <w:lang w:bidi="ar-SA"/>
        </w:rPr>
        <w:t xml:space="preserve"> لكن هذا ليس صحيحًا. صحيح أننا لا نخلص بإنجاز بشري أو بأعمال صالحة، وإنما فقط بالإيمان بالرب يسوع المسيح. إلا أن الكتاب المقدس يتكلم عن نوع من الأعمال الحسنة متناغمة تمامًا مع الإيمان، نعم وحتى مرتبطة ارتباط وثيق به. وهو يتكلم أيضًا عن أعمال رديئة.</w:t>
      </w:r>
    </w:p>
    <w:p w14:paraId="742CD5C3" w14:textId="77777777" w:rsidR="00BD65B6" w:rsidRDefault="00BD65B6" w:rsidP="00BD65B6">
      <w:pPr>
        <w:bidi/>
        <w:jc w:val="both"/>
        <w:rPr>
          <w:rtl/>
          <w:lang w:bidi="ar-SA"/>
        </w:rPr>
      </w:pPr>
      <w:r>
        <w:rPr>
          <w:rFonts w:hint="cs"/>
          <w:rtl/>
          <w:lang w:bidi="ar-SA"/>
        </w:rPr>
        <w:t xml:space="preserve">في </w:t>
      </w:r>
      <w:proofErr w:type="spellStart"/>
      <w:r>
        <w:rPr>
          <w:rFonts w:hint="cs"/>
          <w:rtl/>
          <w:lang w:bidi="ar-SA"/>
        </w:rPr>
        <w:t>كولوسي</w:t>
      </w:r>
      <w:proofErr w:type="spellEnd"/>
      <w:r>
        <w:rPr>
          <w:rFonts w:hint="cs"/>
          <w:rtl/>
          <w:lang w:bidi="ar-SA"/>
        </w:rPr>
        <w:t xml:space="preserve"> 1: 21 ن</w:t>
      </w:r>
      <w:r w:rsidR="005D5D65">
        <w:rPr>
          <w:rFonts w:hint="cs"/>
          <w:rtl/>
          <w:lang w:bidi="ar-SA"/>
        </w:rPr>
        <w:t>ح</w:t>
      </w:r>
      <w:r>
        <w:rPr>
          <w:rFonts w:hint="cs"/>
          <w:rtl/>
          <w:lang w:bidi="ar-SA"/>
        </w:rPr>
        <w:t xml:space="preserve">ن نجد "أعمالاً شريرة" </w:t>
      </w:r>
      <w:r>
        <w:rPr>
          <w:rtl/>
          <w:lang w:bidi="ar-SA"/>
        </w:rPr>
        <w:t>–</w:t>
      </w:r>
      <w:r>
        <w:rPr>
          <w:rFonts w:hint="cs"/>
          <w:rtl/>
          <w:lang w:bidi="ar-SA"/>
        </w:rPr>
        <w:t xml:space="preserve"> العواقب الوخيمة للطبيعة الساقطة، الفاسدة والخاطئة لنسل آدم. هذه الأعمال هي </w:t>
      </w:r>
      <w:r w:rsidR="00ED14CC">
        <w:rPr>
          <w:rFonts w:hint="cs"/>
          <w:rtl/>
          <w:lang w:bidi="ar-SA"/>
        </w:rPr>
        <w:t>الثمار الرديئة من شجرة رديئة.</w:t>
      </w:r>
    </w:p>
    <w:p w14:paraId="7711861C" w14:textId="77777777" w:rsidR="00ED14CC" w:rsidRDefault="00ED14CC" w:rsidP="00ED14CC">
      <w:pPr>
        <w:bidi/>
        <w:jc w:val="both"/>
        <w:rPr>
          <w:rtl/>
          <w:lang w:bidi="ar-SA"/>
        </w:rPr>
      </w:pPr>
      <w:r>
        <w:rPr>
          <w:rFonts w:hint="cs"/>
          <w:rtl/>
          <w:lang w:bidi="ar-SA"/>
        </w:rPr>
        <w:t>في عبرانيين 9: 14 نحن نقرأ عن "أعمال ميتة". إن هذا على سبيل المثال القيام بالتزامات ووصايا دينية على أمل نوال البركة والحياة الأبدية. إنها "</w:t>
      </w:r>
      <w:proofErr w:type="spellStart"/>
      <w:r>
        <w:rPr>
          <w:rFonts w:hint="cs"/>
          <w:rtl/>
          <w:lang w:bidi="ar-SA"/>
        </w:rPr>
        <w:t>تبررات</w:t>
      </w:r>
      <w:proofErr w:type="spellEnd"/>
      <w:r>
        <w:rPr>
          <w:rFonts w:hint="cs"/>
          <w:rtl/>
          <w:lang w:bidi="ar-SA"/>
        </w:rPr>
        <w:t>" بشرية هي في عيني الله</w:t>
      </w:r>
      <w:r>
        <w:rPr>
          <w:rFonts w:hint="cs"/>
          <w:rtl/>
        </w:rPr>
        <w:t xml:space="preserve"> "</w:t>
      </w:r>
      <w:r w:rsidR="004D04CB" w:rsidRPr="004D04CB">
        <w:rPr>
          <w:rtl/>
        </w:rPr>
        <w:t xml:space="preserve"> </w:t>
      </w:r>
      <w:r w:rsidR="004D04CB" w:rsidRPr="004D04CB">
        <w:rPr>
          <w:rtl/>
          <w:lang w:bidi="ar-SA"/>
        </w:rPr>
        <w:t>كَثَوْبِ عِدَّةٍ</w:t>
      </w:r>
      <w:r>
        <w:rPr>
          <w:rFonts w:hint="cs"/>
          <w:rtl/>
          <w:lang w:bidi="ar-SA"/>
        </w:rPr>
        <w:t xml:space="preserve"> (ثوب قذر)" (</w:t>
      </w:r>
      <w:proofErr w:type="spellStart"/>
      <w:r>
        <w:rPr>
          <w:rFonts w:hint="cs"/>
          <w:rtl/>
          <w:lang w:bidi="ar-SA"/>
        </w:rPr>
        <w:t>أشعياء</w:t>
      </w:r>
      <w:proofErr w:type="spellEnd"/>
      <w:r>
        <w:rPr>
          <w:rFonts w:hint="cs"/>
          <w:rtl/>
          <w:lang w:bidi="ar-SA"/>
        </w:rPr>
        <w:t xml:space="preserve"> 64: </w:t>
      </w:r>
      <w:r w:rsidR="004D04CB">
        <w:rPr>
          <w:rFonts w:hint="cs"/>
          <w:rtl/>
          <w:lang w:bidi="ar-SA"/>
        </w:rPr>
        <w:t>6</w:t>
      </w:r>
      <w:r>
        <w:rPr>
          <w:rFonts w:hint="cs"/>
          <w:rtl/>
          <w:lang w:bidi="ar-SA"/>
        </w:rPr>
        <w:t>).</w:t>
      </w:r>
      <w:r w:rsidR="004D04CB">
        <w:rPr>
          <w:rFonts w:hint="cs"/>
          <w:rtl/>
          <w:lang w:bidi="ar-SA"/>
        </w:rPr>
        <w:t xml:space="preserve"> هذه الأعمال هي من ثمار ذات الشجرة الرديئة التي زُرعت بأفضل زراعة </w:t>
      </w:r>
      <w:r w:rsidR="004D04CB">
        <w:rPr>
          <w:rtl/>
          <w:lang w:bidi="ar-SA"/>
        </w:rPr>
        <w:t>–</w:t>
      </w:r>
      <w:r w:rsidR="004D04CB">
        <w:rPr>
          <w:rFonts w:hint="cs"/>
          <w:rtl/>
          <w:lang w:bidi="ar-SA"/>
        </w:rPr>
        <w:t xml:space="preserve"> غير أن الثمر رديء لأن العالم ليس له القدرة بأن يُخرج من الشوك</w:t>
      </w:r>
      <w:r w:rsidR="0056290A" w:rsidRPr="0056290A">
        <w:rPr>
          <w:rtl/>
        </w:rPr>
        <w:t xml:space="preserve"> </w:t>
      </w:r>
      <w:r w:rsidR="0056290A" w:rsidRPr="0056290A">
        <w:rPr>
          <w:rtl/>
          <w:lang w:bidi="ar-SA"/>
        </w:rPr>
        <w:t>عنبًا</w:t>
      </w:r>
      <w:r w:rsidR="004D04CB">
        <w:rPr>
          <w:rFonts w:hint="cs"/>
          <w:rtl/>
          <w:lang w:bidi="ar-SA"/>
        </w:rPr>
        <w:t xml:space="preserve"> أو</w:t>
      </w:r>
      <w:r w:rsidR="0056290A">
        <w:rPr>
          <w:rFonts w:hint="cs"/>
          <w:rtl/>
          <w:lang w:bidi="ar-SA"/>
        </w:rPr>
        <w:t xml:space="preserve"> من الحسك</w:t>
      </w:r>
      <w:r w:rsidR="004D04CB">
        <w:rPr>
          <w:rFonts w:hint="cs"/>
          <w:rtl/>
          <w:lang w:bidi="ar-SA"/>
        </w:rPr>
        <w:t xml:space="preserve"> تينًا</w:t>
      </w:r>
      <w:r w:rsidR="0056290A">
        <w:rPr>
          <w:rFonts w:hint="cs"/>
          <w:rtl/>
          <w:lang w:bidi="ar-SA"/>
        </w:rPr>
        <w:t>.</w:t>
      </w:r>
    </w:p>
    <w:p w14:paraId="7652CC24" w14:textId="77777777" w:rsidR="0056290A" w:rsidRDefault="0056290A" w:rsidP="0056290A">
      <w:pPr>
        <w:bidi/>
        <w:jc w:val="both"/>
        <w:rPr>
          <w:rtl/>
          <w:lang w:bidi="ar-SA"/>
        </w:rPr>
      </w:pPr>
      <w:r>
        <w:rPr>
          <w:rFonts w:hint="cs"/>
          <w:rtl/>
          <w:lang w:bidi="ar-SA"/>
        </w:rPr>
        <w:t xml:space="preserve">في </w:t>
      </w:r>
      <w:proofErr w:type="spellStart"/>
      <w:r>
        <w:rPr>
          <w:rFonts w:hint="cs"/>
          <w:rtl/>
          <w:lang w:bidi="ar-SA"/>
        </w:rPr>
        <w:t>تيطس</w:t>
      </w:r>
      <w:proofErr w:type="spellEnd"/>
      <w:r>
        <w:rPr>
          <w:rFonts w:hint="cs"/>
          <w:rtl/>
          <w:lang w:bidi="ar-SA"/>
        </w:rPr>
        <w:t xml:space="preserve"> 2: 7 </w:t>
      </w:r>
      <w:r>
        <w:rPr>
          <w:rtl/>
          <w:lang w:bidi="ar-SA"/>
        </w:rPr>
        <w:t>–</w:t>
      </w:r>
      <w:r>
        <w:rPr>
          <w:rFonts w:hint="cs"/>
          <w:rtl/>
          <w:lang w:bidi="ar-SA"/>
        </w:rPr>
        <w:t xml:space="preserve"> 9 يتكلم عن "أعمال حسنة" نحن كمسيحيين مطالبون بها. هذه الأعمال هي ثمر الحياة الجديدة، الأبدية والطبيعة الإلهية، التي يحصل عليها المسيحي (2. </w:t>
      </w:r>
      <w:r w:rsidRPr="005D5D65">
        <w:rPr>
          <w:rFonts w:hint="cs"/>
          <w:rtl/>
          <w:lang w:bidi="ar-SA"/>
        </w:rPr>
        <w:t>بطرس</w:t>
      </w:r>
      <w:r>
        <w:rPr>
          <w:rFonts w:hint="cs"/>
          <w:rtl/>
          <w:lang w:bidi="ar-SA"/>
        </w:rPr>
        <w:t xml:space="preserve"> 1: 4)</w:t>
      </w:r>
      <w:r w:rsidR="005D5D65">
        <w:rPr>
          <w:rFonts w:hint="cs"/>
          <w:rtl/>
          <w:lang w:bidi="ar-SA"/>
        </w:rPr>
        <w:t xml:space="preserve"> التي قدرة حياتها موجودة في الإيمان وشدتها في الروح القدس. هذه الأعمال هي ثمار حسنة تنمو في شجرة جيدة.</w:t>
      </w:r>
    </w:p>
    <w:p w14:paraId="616E778A" w14:textId="77777777" w:rsidR="005D5D65" w:rsidRDefault="005D5D65" w:rsidP="005D5D65">
      <w:pPr>
        <w:bidi/>
        <w:jc w:val="both"/>
        <w:rPr>
          <w:rtl/>
          <w:lang w:bidi="ar-SA"/>
        </w:rPr>
      </w:pPr>
      <w:r>
        <w:rPr>
          <w:rFonts w:hint="cs"/>
          <w:rtl/>
          <w:lang w:bidi="ar-SA"/>
        </w:rPr>
        <w:t xml:space="preserve">في رومية 3 </w:t>
      </w:r>
      <w:r>
        <w:rPr>
          <w:rtl/>
          <w:lang w:bidi="ar-SA"/>
        </w:rPr>
        <w:t>–</w:t>
      </w:r>
      <w:r>
        <w:rPr>
          <w:rFonts w:hint="cs"/>
          <w:rtl/>
          <w:lang w:bidi="ar-SA"/>
        </w:rPr>
        <w:t xml:space="preserve"> 5 نرى، بأن التبرير أمام الله يحدث فقط على أساس الإيمان. "</w:t>
      </w:r>
      <w:r w:rsidR="00EE4600" w:rsidRPr="00EE4600">
        <w:rPr>
          <w:rtl/>
          <w:lang w:bidi="ar-SA"/>
        </w:rPr>
        <w:t>إِذًا نَحْسِبُ أَنَّ الإِنْسَانَ يَتَبَرَّرُ بِالإِيمَانِ بِدُونِ أَعْمَالِ النَّامُوسِ</w:t>
      </w:r>
      <w:r w:rsidR="00EE4600">
        <w:rPr>
          <w:rFonts w:hint="cs"/>
          <w:rtl/>
          <w:lang w:bidi="ar-SA"/>
        </w:rPr>
        <w:t>." (رومية 3: 28).</w:t>
      </w:r>
    </w:p>
    <w:p w14:paraId="65ECC9B7" w14:textId="0616AE28" w:rsidR="00EE4600" w:rsidRDefault="00EE4600" w:rsidP="00EE4600">
      <w:pPr>
        <w:bidi/>
        <w:jc w:val="both"/>
        <w:rPr>
          <w:rtl/>
          <w:lang w:bidi="ar-SA"/>
        </w:rPr>
      </w:pPr>
      <w:r>
        <w:rPr>
          <w:rFonts w:hint="cs"/>
          <w:rtl/>
          <w:lang w:bidi="ar-SA"/>
        </w:rPr>
        <w:t xml:space="preserve">من الجانب الآخر يقول لنا يعقوب 2 كذلك بصورة واضحة، بأن التبرير </w:t>
      </w:r>
      <w:r>
        <w:rPr>
          <w:rtl/>
          <w:lang w:bidi="ar-SA"/>
        </w:rPr>
        <w:t>–</w:t>
      </w:r>
      <w:r>
        <w:rPr>
          <w:rFonts w:hint="cs"/>
          <w:rtl/>
          <w:lang w:bidi="ar-SA"/>
        </w:rPr>
        <w:t xml:space="preserve"> في تلامسه العلني أمام الناس في العالم </w:t>
      </w:r>
      <w:r>
        <w:rPr>
          <w:rtl/>
          <w:lang w:bidi="ar-SA"/>
        </w:rPr>
        <w:t>–</w:t>
      </w:r>
      <w:r>
        <w:rPr>
          <w:rFonts w:hint="cs"/>
          <w:rtl/>
          <w:lang w:bidi="ar-SA"/>
        </w:rPr>
        <w:t xml:space="preserve"> ليس هو نتيجة الإيمان بصورة أساسية فقط، وإنما كذلك بالأعمال. "</w:t>
      </w:r>
      <w:r w:rsidRPr="00EE4600">
        <w:rPr>
          <w:rtl/>
          <w:lang w:bidi="ar-SA"/>
        </w:rPr>
        <w:t>تَرَوْنَ إِذًا أَنَّهُ بِالأَعْمَالِ يَتَبَرَّرُ الإِنْسَانُ، لاَ بِالإِيمَانِ وَحْدَهُ.</w:t>
      </w:r>
      <w:r>
        <w:rPr>
          <w:rFonts w:hint="cs"/>
          <w:rtl/>
          <w:lang w:bidi="ar-SA"/>
        </w:rPr>
        <w:t>" (يعقوب 2: 24).</w:t>
      </w:r>
    </w:p>
    <w:p w14:paraId="4803507D" w14:textId="413DB258" w:rsidR="00EE4600" w:rsidRDefault="00EE4600" w:rsidP="00EE4600">
      <w:pPr>
        <w:bidi/>
        <w:jc w:val="both"/>
        <w:rPr>
          <w:rtl/>
          <w:lang w:bidi="ar-SA"/>
        </w:rPr>
      </w:pPr>
      <w:r>
        <w:rPr>
          <w:rFonts w:hint="cs"/>
          <w:rtl/>
          <w:lang w:bidi="ar-SA"/>
        </w:rPr>
        <w:t xml:space="preserve">إن قرأت </w:t>
      </w:r>
      <w:proofErr w:type="spellStart"/>
      <w:r>
        <w:rPr>
          <w:rFonts w:hint="cs"/>
          <w:rtl/>
          <w:lang w:bidi="ar-SA"/>
        </w:rPr>
        <w:t>الإصحاحات</w:t>
      </w:r>
      <w:proofErr w:type="spellEnd"/>
      <w:r>
        <w:rPr>
          <w:rFonts w:hint="cs"/>
          <w:rtl/>
          <w:lang w:bidi="ar-SA"/>
        </w:rPr>
        <w:t xml:space="preserve"> من رسالة رومية بعناية ومن رسالة يعقوب، ستجد التناغم ما بين "الإيمان" و"الأعمال". كل من النصين يقدّم إبراهيم كالمثال العظيم في العهد القديم الذي يدعم الحق المعروض لنا هنا. </w:t>
      </w:r>
      <w:r w:rsidR="00C407A6">
        <w:rPr>
          <w:rFonts w:hint="cs"/>
          <w:rtl/>
          <w:lang w:bidi="ar-SA"/>
        </w:rPr>
        <w:t>الله دعا إبراهيم "أبًا لجميع المؤمنين". عن هذا يتكلم بولس في رومية 4 :11. الإيمان كان واقعًا حيًا في حياة إبراهيم مع الله. هو آمن بالله</w:t>
      </w:r>
      <w:r w:rsidR="002E2F3E">
        <w:rPr>
          <w:rFonts w:hint="cs"/>
          <w:rtl/>
          <w:lang w:bidi="ar-SA"/>
        </w:rPr>
        <w:t xml:space="preserve"> بأنه هو وسارة سيحصلان على ابن، حينما كان هذا مستح</w:t>
      </w:r>
      <w:r w:rsidR="00C9770B">
        <w:rPr>
          <w:rFonts w:hint="cs"/>
          <w:rtl/>
          <w:lang w:bidi="ar-SA"/>
        </w:rPr>
        <w:t>يلاً</w:t>
      </w:r>
      <w:r w:rsidR="002E2F3E">
        <w:rPr>
          <w:rFonts w:hint="cs"/>
          <w:rtl/>
          <w:lang w:bidi="ar-SA"/>
        </w:rPr>
        <w:t xml:space="preserve"> بنظر البشر </w:t>
      </w:r>
      <w:r w:rsidR="002E2F3E">
        <w:rPr>
          <w:rtl/>
          <w:lang w:bidi="ar-SA"/>
        </w:rPr>
        <w:t>–</w:t>
      </w:r>
      <w:r w:rsidR="002E2F3E">
        <w:rPr>
          <w:rFonts w:hint="cs"/>
          <w:rtl/>
          <w:lang w:bidi="ar-SA"/>
        </w:rPr>
        <w:t xml:space="preserve"> والله حسب له هذا الإيمان برًا (تكوين 15: 4 </w:t>
      </w:r>
      <w:r w:rsidR="002E2F3E">
        <w:rPr>
          <w:rtl/>
          <w:lang w:bidi="ar-SA"/>
        </w:rPr>
        <w:t>–</w:t>
      </w:r>
      <w:r w:rsidR="002E2F3E">
        <w:rPr>
          <w:rFonts w:hint="cs"/>
          <w:rtl/>
          <w:lang w:bidi="ar-SA"/>
        </w:rPr>
        <w:t xml:space="preserve"> 6).</w:t>
      </w:r>
    </w:p>
    <w:p w14:paraId="6B605F6E" w14:textId="63838CD7" w:rsidR="00E533FE" w:rsidRDefault="00926140" w:rsidP="00E533FE">
      <w:pPr>
        <w:bidi/>
        <w:jc w:val="both"/>
        <w:rPr>
          <w:rtl/>
        </w:rPr>
      </w:pPr>
      <w:r>
        <w:rPr>
          <w:rFonts w:hint="cs"/>
          <w:rtl/>
          <w:lang w:bidi="ar-SA"/>
        </w:rPr>
        <w:t xml:space="preserve">من بعد ذلك بسنوات نرى عملاً عظيمًا للإيمان، حينما ذهب إبراهيم بكل بساطة طائعًا الله إلى جبل </w:t>
      </w:r>
      <w:proofErr w:type="spellStart"/>
      <w:r>
        <w:rPr>
          <w:rFonts w:hint="cs"/>
          <w:rtl/>
          <w:lang w:bidi="ar-SA"/>
        </w:rPr>
        <w:t>المريا</w:t>
      </w:r>
      <w:proofErr w:type="spellEnd"/>
      <w:r>
        <w:rPr>
          <w:rFonts w:hint="cs"/>
          <w:rtl/>
          <w:lang w:bidi="ar-SA"/>
        </w:rPr>
        <w:t xml:space="preserve"> ليقدم اسحق، ابن الموعد، الذي سيصير أمة عظيمة، ذبيحة (تكوين 22: 1 </w:t>
      </w:r>
      <w:r>
        <w:rPr>
          <w:rtl/>
          <w:lang w:bidi="ar-SA"/>
        </w:rPr>
        <w:t>–</w:t>
      </w:r>
      <w:r>
        <w:rPr>
          <w:rFonts w:hint="cs"/>
          <w:rtl/>
          <w:lang w:bidi="ar-SA"/>
        </w:rPr>
        <w:t xml:space="preserve"> 19). لقد آمن بأن الله قادر وسيُقيم الموتى ثانية. إن هذا</w:t>
      </w:r>
      <w:r w:rsidR="00E3590B">
        <w:rPr>
          <w:rFonts w:hint="cs"/>
          <w:rtl/>
          <w:lang w:bidi="ar-SA"/>
        </w:rPr>
        <w:t xml:space="preserve"> الحدث العلني أظهر أمام الناس إيمانه بالله. لقد كان البرهان الظاهر للعيان على إيمانه الباطني. وإلى هذا يُشير </w:t>
      </w:r>
      <w:r w:rsidR="00E3590B" w:rsidRPr="00E533FE">
        <w:rPr>
          <w:rtl/>
          <w:lang w:bidi="ar-SA"/>
        </w:rPr>
        <w:t>يعقوب</w:t>
      </w:r>
      <w:r w:rsidR="00E533FE">
        <w:rPr>
          <w:rFonts w:hint="cs"/>
          <w:rtl/>
        </w:rPr>
        <w:t>.</w:t>
      </w:r>
    </w:p>
    <w:p w14:paraId="62B7CC2F" w14:textId="7C922F89" w:rsidR="00E533FE" w:rsidRDefault="00E533FE" w:rsidP="00E533FE">
      <w:pPr>
        <w:bidi/>
        <w:jc w:val="both"/>
        <w:rPr>
          <w:rtl/>
        </w:rPr>
      </w:pPr>
      <w:r>
        <w:rPr>
          <w:rFonts w:hint="cs"/>
          <w:rtl/>
        </w:rPr>
        <w:t>فكما هي قصة الرجلين: واحد كان داخل قبة مجوفة وأصر بأن المحدب مقعر، بينما الثاني كان خارجها</w:t>
      </w:r>
      <w:r w:rsidRPr="00E533FE">
        <w:rPr>
          <w:rFonts w:hint="cs"/>
          <w:rtl/>
        </w:rPr>
        <w:t xml:space="preserve"> مدعيًا أنها محدبة</w:t>
      </w:r>
      <w:r>
        <w:rPr>
          <w:rFonts w:hint="cs"/>
          <w:rtl/>
        </w:rPr>
        <w:t xml:space="preserve">. </w:t>
      </w:r>
      <w:r>
        <w:rPr>
          <w:rtl/>
        </w:rPr>
        <w:t>–</w:t>
      </w:r>
      <w:r>
        <w:rPr>
          <w:rFonts w:hint="cs"/>
          <w:rtl/>
        </w:rPr>
        <w:t xml:space="preserve"> وهذا ما يرينا إياه بولس في رسالة رومية النظرة من الداخل وقال "بالإيمان"، بينما يعقوب فينظر إلى الأمور من الخارج وقال "بالأعمال". إلا أن لا تناقض ما بين بولس ويعقوب في </w:t>
      </w:r>
      <w:proofErr w:type="spellStart"/>
      <w:r>
        <w:rPr>
          <w:rFonts w:hint="cs"/>
          <w:rtl/>
        </w:rPr>
        <w:t>ادعائيهما</w:t>
      </w:r>
      <w:proofErr w:type="spellEnd"/>
      <w:r>
        <w:rPr>
          <w:rFonts w:hint="cs"/>
          <w:rtl/>
        </w:rPr>
        <w:t>.</w:t>
      </w:r>
    </w:p>
    <w:p w14:paraId="3B4EC684" w14:textId="770A31E9" w:rsidR="00E533FE" w:rsidRPr="00E533FE" w:rsidRDefault="00E533FE" w:rsidP="00E533FE">
      <w:pPr>
        <w:bidi/>
        <w:jc w:val="both"/>
        <w:rPr>
          <w:rFonts w:hint="cs"/>
          <w:rtl/>
        </w:rPr>
      </w:pPr>
      <w:r>
        <w:rPr>
          <w:rFonts w:hint="cs"/>
          <w:rtl/>
        </w:rPr>
        <w:t>لربما تتساءل، ما هو الإيمان في الواقع. وهنالك تعريف جيد: "الإيمان، هو ما يقوله الله، لأن الله قاله." فالإيمان كالنافذة التي تُدخل أشعة الشمس. أشعة الشمس تنير حائط البيت من الخارج، ولن تضيء غرفة مظلمة إلا أن كان فيها نافذة. عندها النور الإلهي سيتدفق إلى داخل قلوينا</w:t>
      </w:r>
      <w:r w:rsidR="0019041E">
        <w:rPr>
          <w:rFonts w:hint="cs"/>
          <w:rtl/>
        </w:rPr>
        <w:t xml:space="preserve"> إن "آمنا بالله" كما فعل إبراهيم. إلا أن الإيمان الحقيقي يصل إلى أبعد من ذلك. فالأمر ليس فقط بأن يكون لدينا النور، وإنما بأن نجد ملء الراحة فيمن أعلن لنا النور </w:t>
      </w:r>
      <w:r w:rsidR="0019041E">
        <w:rPr>
          <w:rtl/>
        </w:rPr>
        <w:t>–</w:t>
      </w:r>
      <w:r w:rsidR="0019041E">
        <w:rPr>
          <w:rFonts w:hint="cs"/>
          <w:rtl/>
        </w:rPr>
        <w:t xml:space="preserve"> </w:t>
      </w:r>
      <w:hyperlink r:id="rId4" w:anchor=":~:text=Ein%20Missionar%20hatte%20einmal%20Schwierigkeiten%2C%20beim%20%C3%9Cbersetzen%20der" w:history="1">
        <w:r w:rsidR="0019041E" w:rsidRPr="00075675">
          <w:rPr>
            <w:rStyle w:val="Hyperlink"/>
            <w:rtl/>
          </w:rPr>
          <w:t>يسوع</w:t>
        </w:r>
      </w:hyperlink>
      <w:r w:rsidR="0019041E">
        <w:rPr>
          <w:rFonts w:hint="cs"/>
          <w:rtl/>
        </w:rPr>
        <w:t>.</w:t>
      </w:r>
    </w:p>
    <w:sectPr w:rsidR="00E533FE" w:rsidRPr="00E533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FC"/>
    <w:rsid w:val="00075675"/>
    <w:rsid w:val="000B2855"/>
    <w:rsid w:val="000C4EFC"/>
    <w:rsid w:val="000D72C7"/>
    <w:rsid w:val="00110C9E"/>
    <w:rsid w:val="0019041E"/>
    <w:rsid w:val="002E2F3E"/>
    <w:rsid w:val="004A5582"/>
    <w:rsid w:val="004D04CB"/>
    <w:rsid w:val="0056290A"/>
    <w:rsid w:val="005D5D65"/>
    <w:rsid w:val="007D53FC"/>
    <w:rsid w:val="00926140"/>
    <w:rsid w:val="00AF6FE2"/>
    <w:rsid w:val="00BD65B6"/>
    <w:rsid w:val="00C407A6"/>
    <w:rsid w:val="00C9770B"/>
    <w:rsid w:val="00E3590B"/>
    <w:rsid w:val="00E533FE"/>
    <w:rsid w:val="00ED14CC"/>
    <w:rsid w:val="00EE46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44FA"/>
  <w15:chartTrackingRefBased/>
  <w15:docId w15:val="{233116E7-3440-44B4-B1A6-0859D9BE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EFC"/>
    <w:rPr>
      <w:color w:val="0563C1" w:themeColor="hyperlink"/>
      <w:u w:val="single"/>
    </w:rPr>
  </w:style>
  <w:style w:type="character" w:styleId="UnresolvedMention">
    <w:name w:val="Unresolved Mention"/>
    <w:basedOn w:val="DefaultParagraphFont"/>
    <w:uiPriority w:val="99"/>
    <w:semiHidden/>
    <w:unhideWhenUsed/>
    <w:rsid w:val="000C4EFC"/>
    <w:rPr>
      <w:color w:val="605E5C"/>
      <w:shd w:val="clear" w:color="auto" w:fill="E1DFDD"/>
    </w:rPr>
  </w:style>
  <w:style w:type="character" w:styleId="FollowedHyperlink">
    <w:name w:val="FollowedHyperlink"/>
    <w:basedOn w:val="DefaultParagraphFont"/>
    <w:uiPriority w:val="99"/>
    <w:semiHidden/>
    <w:unhideWhenUsed/>
    <w:rsid w:val="00E533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8805/das-bild-gesunder-worte/glaube-und-we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611</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11</cp:revision>
  <dcterms:created xsi:type="dcterms:W3CDTF">2022-09-26T13:17:00Z</dcterms:created>
  <dcterms:modified xsi:type="dcterms:W3CDTF">2026-08-29T02:11:00Z</dcterms:modified>
</cp:coreProperties>
</file>