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4538BF" w14:textId="74A90D59" w:rsidR="00FD3BB5" w:rsidRDefault="00871F91">
      <w:pPr>
        <w:rPr>
          <w:rtl/>
          <w:lang w:bidi="ar-AE"/>
        </w:rPr>
      </w:pPr>
      <w:hyperlink r:id="rId4" w:history="1">
        <w:r w:rsidRPr="00871F91">
          <w:rPr>
            <w:rStyle w:val="Hyperlink"/>
            <w:rFonts w:hint="cs"/>
            <w:rtl/>
            <w:lang w:bidi="ar-AE"/>
          </w:rPr>
          <w:t>أن نتوب</w:t>
        </w:r>
      </w:hyperlink>
    </w:p>
    <w:p w14:paraId="4D9EF0B2" w14:textId="147217A1" w:rsidR="00871F91" w:rsidRDefault="00871F91">
      <w:pPr>
        <w:rPr>
          <w:rtl/>
          <w:lang w:bidi="ar-AE"/>
        </w:rPr>
      </w:pPr>
      <w:r w:rsidRPr="00871F91">
        <w:rPr>
          <w:lang w:bidi="ar-AE"/>
        </w:rPr>
        <w:t>Friedemann Werkshage</w:t>
      </w:r>
    </w:p>
    <w:p w14:paraId="78013E8C" w14:textId="7B65639C" w:rsidR="00871F91" w:rsidRDefault="007F54CC">
      <w:pPr>
        <w:rPr>
          <w:rtl/>
          <w:lang w:bidi="ar-AE"/>
        </w:rPr>
      </w:pPr>
      <w:r>
        <w:rPr>
          <w:rFonts w:hint="cs"/>
          <w:rtl/>
          <w:lang w:bidi="ar-AE"/>
        </w:rPr>
        <w:t>هذه فعلاً خطوة ضرورية على كل إنسان دون فرق أن يقوم بها لا يهم من أين أتى وما الذي اختبره.</w:t>
      </w:r>
    </w:p>
    <w:p w14:paraId="7BAB5D91" w14:textId="49BC1F7D" w:rsidR="007F54CC" w:rsidRDefault="007F54CC">
      <w:pPr>
        <w:rPr>
          <w:rtl/>
          <w:lang w:bidi="ar-AE"/>
        </w:rPr>
      </w:pPr>
      <w:r>
        <w:rPr>
          <w:rFonts w:hint="cs"/>
          <w:rtl/>
          <w:lang w:bidi="ar-AE"/>
        </w:rPr>
        <w:t xml:space="preserve">إنه لا يوجد فرق بين جميع الناس </w:t>
      </w:r>
      <w:r>
        <w:rPr>
          <w:rtl/>
          <w:lang w:bidi="ar-AE"/>
        </w:rPr>
        <w:t>–</w:t>
      </w:r>
      <w:r>
        <w:rPr>
          <w:rFonts w:hint="cs"/>
          <w:rtl/>
          <w:lang w:bidi="ar-AE"/>
        </w:rPr>
        <w:t xml:space="preserve"> كما وما يتعلق بخطاياهم. طبعًا فالكتاب المقدس يقول لنا بأنه لا فرق "لأن الجميع أخطأ</w:t>
      </w:r>
      <w:r w:rsidR="00A76D39">
        <w:rPr>
          <w:rFonts w:hint="cs"/>
          <w:rtl/>
          <w:lang w:bidi="ar-AE"/>
        </w:rPr>
        <w:t>وا</w:t>
      </w:r>
      <w:bookmarkStart w:id="0" w:name="_GoBack"/>
      <w:bookmarkEnd w:id="0"/>
      <w:r>
        <w:rPr>
          <w:rFonts w:hint="cs"/>
          <w:rtl/>
          <w:lang w:bidi="ar-AE"/>
        </w:rPr>
        <w:t xml:space="preserve">" (رومية 3: 23). لكن ليس كل واحد يخطئ بذات الصورة وليس بذات القدر، ومع هذا فالأمر ينطبق على الجميع: على الجميع أن يتوب! يجب أن يكون هنالك تغيّر في الفكر، وإعادة التفكير في حالتنا وتصرفنا. بعيدًا عن نظرتنا نحن لحياتنا </w:t>
      </w:r>
      <w:r>
        <w:rPr>
          <w:rtl/>
          <w:lang w:bidi="ar-AE"/>
        </w:rPr>
        <w:t>–</w:t>
      </w:r>
      <w:r>
        <w:rPr>
          <w:rFonts w:hint="cs"/>
          <w:rtl/>
          <w:lang w:bidi="ar-AE"/>
        </w:rPr>
        <w:t xml:space="preserve"> ملتفتين إلى النظرة التي يحكم فيها الله على حياتنا </w:t>
      </w:r>
      <w:r>
        <w:rPr>
          <w:rtl/>
          <w:lang w:bidi="ar-AE"/>
        </w:rPr>
        <w:t>–</w:t>
      </w:r>
      <w:r>
        <w:rPr>
          <w:rFonts w:hint="cs"/>
          <w:rtl/>
          <w:lang w:bidi="ar-AE"/>
        </w:rPr>
        <w:t xml:space="preserve"> وهذا سيأتي بنتيجة واحدة فقط بأن نحكم على حياتنا التي عشناها إلى تلك اللحظة.</w:t>
      </w:r>
    </w:p>
    <w:p w14:paraId="385D9768" w14:textId="50230F27" w:rsidR="007F54CC" w:rsidRDefault="007F54CC">
      <w:pPr>
        <w:rPr>
          <w:rtl/>
          <w:lang w:bidi="ar-AE"/>
        </w:rPr>
      </w:pPr>
      <w:r>
        <w:rPr>
          <w:rFonts w:hint="cs"/>
          <w:rtl/>
          <w:lang w:bidi="ar-AE"/>
        </w:rPr>
        <w:t xml:space="preserve">إن حكمنا على حياتنا بهذه الطريقة كما يراها الله </w:t>
      </w:r>
      <w:r w:rsidR="00ED5684">
        <w:rPr>
          <w:rFonts w:hint="cs"/>
          <w:rtl/>
          <w:lang w:bidi="ar-AE"/>
        </w:rPr>
        <w:t>فسنقرّ</w:t>
      </w:r>
      <w:r>
        <w:rPr>
          <w:rFonts w:hint="cs"/>
          <w:rtl/>
          <w:lang w:bidi="ar-AE"/>
        </w:rPr>
        <w:t xml:space="preserve"> بأنها مليئة با</w:t>
      </w:r>
      <w:r w:rsidR="00ED5684">
        <w:rPr>
          <w:rFonts w:hint="cs"/>
          <w:rtl/>
          <w:lang w:bidi="ar-AE"/>
        </w:rPr>
        <w:t>لخطية. إننا فينا أصل هذه الخطية. كل إنسان عليه أن يصل في معرفته بأنه خاطئ وهو مسؤول في ذلك بشكل شخصي أمام الله.</w:t>
      </w:r>
    </w:p>
    <w:p w14:paraId="6C092980" w14:textId="3A197335" w:rsidR="00ED5684" w:rsidRDefault="00D23D2E">
      <w:pPr>
        <w:rPr>
          <w:rtl/>
          <w:lang w:bidi="ar-AE"/>
        </w:rPr>
      </w:pPr>
      <w:r>
        <w:rPr>
          <w:rFonts w:hint="cs"/>
          <w:rtl/>
          <w:lang w:bidi="ar-AE"/>
        </w:rPr>
        <w:t>من ضمن هذه المعرفة (السلوك الفكري) لا بد وأن يكون هناك رجوع. كل مَن يدرك ويفهم بأنه يتصرف بصورة خاطئة مطلوب منه أيضًا بأن ينهي هذا التصرف الخاطئ وأن يفعل ما يتفق مع أفكار الله. ويمكننا أن نقول بأن السلوك الفكري هو الجانب الداخلي الخفي فينا. أما الرجوع فهو الجانب الخ</w:t>
      </w:r>
      <w:r w:rsidR="00FA77D3">
        <w:rPr>
          <w:rFonts w:hint="cs"/>
          <w:rtl/>
          <w:lang w:bidi="ar-AE"/>
        </w:rPr>
        <w:t>ا</w:t>
      </w:r>
      <w:r>
        <w:rPr>
          <w:rFonts w:hint="cs"/>
          <w:rtl/>
          <w:lang w:bidi="ar-AE"/>
        </w:rPr>
        <w:t>رجي الظاهر للعيان.</w:t>
      </w:r>
    </w:p>
    <w:p w14:paraId="65F0E09A" w14:textId="4112C8E3" w:rsidR="00D23D2E" w:rsidRDefault="00D55F5C">
      <w:pPr>
        <w:rPr>
          <w:rtl/>
          <w:lang w:bidi="ar-AE"/>
        </w:rPr>
      </w:pPr>
      <w:r>
        <w:rPr>
          <w:rFonts w:hint="cs"/>
          <w:rtl/>
          <w:lang w:bidi="ar-AE"/>
        </w:rPr>
        <w:t>كل من الجانبين نراه في قصة "الابن الضال" في لوقا 15. هناك نقرأ في الأعداد 17 حتى 20:</w:t>
      </w:r>
    </w:p>
    <w:p w14:paraId="08B18290" w14:textId="34C2D412" w:rsidR="00D55F5C" w:rsidRDefault="00D55F5C">
      <w:pPr>
        <w:rPr>
          <w:rtl/>
          <w:lang w:bidi="ar-AE"/>
        </w:rPr>
      </w:pPr>
      <w:r>
        <w:rPr>
          <w:rFonts w:hint="cs"/>
          <w:rtl/>
          <w:lang w:bidi="ar-AE"/>
        </w:rPr>
        <w:t>"</w:t>
      </w:r>
      <w:r w:rsidRPr="00D55F5C">
        <w:rPr>
          <w:rtl/>
          <w:lang w:bidi="ar-AE"/>
        </w:rPr>
        <w:t xml:space="preserve"> </w:t>
      </w:r>
      <w:r w:rsidRPr="00D55F5C">
        <w:rPr>
          <w:b/>
          <w:bCs/>
          <w:color w:val="FF0000"/>
          <w:rtl/>
          <w:lang w:bidi="ar-AE"/>
        </w:rPr>
        <w:t>17فَرَجَعَ إِلَى نَفْسِهِ</w:t>
      </w:r>
      <w:r w:rsidRPr="00D55F5C">
        <w:rPr>
          <w:rtl/>
          <w:lang w:bidi="ar-AE"/>
        </w:rPr>
        <w:t xml:space="preserve"> وَقَالَ: كَمْ مِنْ أَجِيرٍ لأَبِي يَفْضُلُ عَنْهُ الْخُبْزُ وَأَنَا أَهْلِكُ جُوعًا!  18أَقُومُ وَأَذْهَبُ إِلَى أَبِي وَأَقُولُ لَهُ: </w:t>
      </w:r>
      <w:r w:rsidRPr="00D55F5C">
        <w:rPr>
          <w:b/>
          <w:bCs/>
          <w:color w:val="FF0000"/>
          <w:rtl/>
          <w:lang w:bidi="ar-AE"/>
        </w:rPr>
        <w:t>يَا أَبِي، أَخْطَأْتُ إِلَى السَّمَاءِ وَقُدَّامَكَ</w:t>
      </w:r>
      <w:r w:rsidRPr="00D55F5C">
        <w:rPr>
          <w:rtl/>
          <w:lang w:bidi="ar-AE"/>
        </w:rPr>
        <w:t xml:space="preserve">،  19وَلَسْتُ مُسْتَحِقًّا بَعْدُ أَنْ أُدْعَى لَكَ ابْنًا. اِجْعَلْنِي كَأَحَدِ أَجْرَاكَ. </w:t>
      </w:r>
      <w:r>
        <w:rPr>
          <w:rFonts w:hint="cs"/>
          <w:rtl/>
          <w:lang w:bidi="ar-AE"/>
        </w:rPr>
        <w:t>" هنا نرى السلوك الفكري. هو تغيّرت فكرته ونظرته تمامًا لحياته</w:t>
      </w:r>
      <w:r w:rsidR="00534055">
        <w:rPr>
          <w:rFonts w:hint="cs"/>
          <w:rtl/>
          <w:lang w:bidi="ar-AE"/>
        </w:rPr>
        <w:t>، لكنه لم يبقى في ذلك الحال. "</w:t>
      </w:r>
      <w:r w:rsidRPr="00D55F5C">
        <w:rPr>
          <w:rtl/>
          <w:lang w:bidi="ar-AE"/>
        </w:rPr>
        <w:t>20فَقَامَ وَجَاءَ إِلَى أَبِيهِ. وَإِذْ كَانَ لَمْ يَزَلْ بَعِيدًا رَآهُ أَبُوهُ،</w:t>
      </w:r>
      <w:r w:rsidR="00534055">
        <w:rPr>
          <w:rFonts w:hint="cs"/>
          <w:rtl/>
          <w:lang w:bidi="ar-AE"/>
        </w:rPr>
        <w:t>" وتلى ذلك الرجوع.</w:t>
      </w:r>
    </w:p>
    <w:p w14:paraId="314E97CC" w14:textId="44D20837" w:rsidR="00534055" w:rsidRDefault="00534055">
      <w:pPr>
        <w:rPr>
          <w:rtl/>
          <w:lang w:bidi="ar-AE"/>
        </w:rPr>
      </w:pPr>
      <w:r>
        <w:rPr>
          <w:rFonts w:hint="cs"/>
          <w:rtl/>
          <w:lang w:bidi="ar-AE"/>
        </w:rPr>
        <w:t>وما الذي فعله الابن حينما وصل عند أبيه؟ اعترف بخطاياه أمام الأب! فمن ضمن معرفة الخطايا أيضًا هنالك اعترافي بها أمام الذي أخطأتُ إليه.</w:t>
      </w:r>
    </w:p>
    <w:p w14:paraId="4891FE3F" w14:textId="4C596532" w:rsidR="001C6C4A" w:rsidRDefault="001C6C4A">
      <w:pPr>
        <w:rPr>
          <w:rtl/>
          <w:lang w:bidi="ar-AE"/>
        </w:rPr>
      </w:pPr>
      <w:r>
        <w:rPr>
          <w:rFonts w:hint="cs"/>
          <w:rtl/>
          <w:lang w:bidi="ar-AE"/>
        </w:rPr>
        <w:t>هنالك ليس القليل من المسيحيين الذي يخشون بأنهم لم يتوبوا بالقدر الكافي. هذا الفكر كثيرًا ما يكون ناتج عن الخلط ما بين التوبة والندم. التوبة هي مسألة إما أو. إما أننا تبنا، أو لم نتُب. إن فكرة بأننا لم نتُب بشكل كافٍ، لا يعرفها الكتاب المقدس.</w:t>
      </w:r>
    </w:p>
    <w:p w14:paraId="1C8C125F" w14:textId="60588C7B" w:rsidR="001C6C4A" w:rsidRDefault="00073B6F">
      <w:pPr>
        <w:rPr>
          <w:rtl/>
          <w:lang w:bidi="ar-AE"/>
        </w:rPr>
      </w:pPr>
      <w:r>
        <w:rPr>
          <w:rFonts w:hint="cs"/>
          <w:rtl/>
          <w:lang w:bidi="ar-AE"/>
        </w:rPr>
        <w:t xml:space="preserve">أما الندم فهو الشعور بكم الخطية صعبة. </w:t>
      </w:r>
      <w:r w:rsidR="00076EE2">
        <w:rPr>
          <w:rFonts w:hint="cs"/>
          <w:rtl/>
          <w:lang w:bidi="ar-AE"/>
        </w:rPr>
        <w:t>وهذا يأتي مع النمو. الكثير من المسيحيين يقولون عن أنفسهم بأنهم في البداية لم يفهموا بصورة صحيحة، كم كانوا خطاة، كما هو الآن من بعد 20 أو 30 سنة.</w:t>
      </w:r>
    </w:p>
    <w:p w14:paraId="401228A5" w14:textId="19818B6D" w:rsidR="006E5FAB" w:rsidRDefault="006E5FAB">
      <w:pPr>
        <w:rPr>
          <w:rFonts w:hint="cs"/>
          <w:lang w:bidi="ar-AE"/>
        </w:rPr>
      </w:pPr>
      <w:r>
        <w:rPr>
          <w:rFonts w:hint="cs"/>
          <w:rtl/>
          <w:lang w:bidi="ar-AE"/>
        </w:rPr>
        <w:t xml:space="preserve">إن خطوة التوبة هي نقطة أليمة. وهي نقطة عامة ليست من السهل علينا. لكن هذه الخطوة بالذات عند إتياننا ونحن نعي </w:t>
      </w:r>
      <w:r w:rsidR="0001042F">
        <w:rPr>
          <w:rFonts w:hint="cs"/>
          <w:rtl/>
          <w:lang w:bidi="ar-AE"/>
        </w:rPr>
        <w:t>ب</w:t>
      </w:r>
      <w:r>
        <w:rPr>
          <w:rFonts w:hint="cs"/>
          <w:rtl/>
          <w:lang w:bidi="ar-AE"/>
        </w:rPr>
        <w:t xml:space="preserve">حالتنا الخاطئة نحو الله هي فرصة لله بأن يقابلنا في محبة لا حدود لها. </w:t>
      </w:r>
      <w:r w:rsidR="0001042F">
        <w:rPr>
          <w:rFonts w:hint="cs"/>
          <w:rtl/>
          <w:lang w:bidi="ar-AE"/>
        </w:rPr>
        <w:t>وبالتالي نأتي إلى الخطوة التي تليها في الرجوع: الإيمان!</w:t>
      </w:r>
    </w:p>
    <w:sectPr w:rsidR="006E5FAB"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F91"/>
    <w:rsid w:val="0001042F"/>
    <w:rsid w:val="00073B6F"/>
    <w:rsid w:val="00076EE2"/>
    <w:rsid w:val="000C5A11"/>
    <w:rsid w:val="001C6C4A"/>
    <w:rsid w:val="003056E7"/>
    <w:rsid w:val="00534055"/>
    <w:rsid w:val="006E5FAB"/>
    <w:rsid w:val="007F54CC"/>
    <w:rsid w:val="00871F91"/>
    <w:rsid w:val="00A76D39"/>
    <w:rsid w:val="00BA192E"/>
    <w:rsid w:val="00C442EF"/>
    <w:rsid w:val="00D23D2E"/>
    <w:rsid w:val="00D55F5C"/>
    <w:rsid w:val="00ED5684"/>
    <w:rsid w:val="00FA77D3"/>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91C3A"/>
  <w15:chartTrackingRefBased/>
  <w15:docId w15:val="{BDA17536-B957-4D89-B29E-03493C6EF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1F91"/>
    <w:rPr>
      <w:color w:val="0563C1" w:themeColor="hyperlink"/>
      <w:u w:val="single"/>
    </w:rPr>
  </w:style>
  <w:style w:type="character" w:styleId="UnresolvedMention">
    <w:name w:val="Unresolved Mention"/>
    <w:basedOn w:val="DefaultParagraphFont"/>
    <w:uiPriority w:val="99"/>
    <w:semiHidden/>
    <w:unhideWhenUsed/>
    <w:rsid w:val="00871F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5157/busse-tu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372</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11</cp:revision>
  <dcterms:created xsi:type="dcterms:W3CDTF">2022-05-19T06:00:00Z</dcterms:created>
  <dcterms:modified xsi:type="dcterms:W3CDTF">2022-05-19T06:37:00Z</dcterms:modified>
</cp:coreProperties>
</file>