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1AD2089" w14:textId="59873A0E" w:rsidR="00AF6FE2" w:rsidRDefault="00000000">
      <w:pPr>
        <w:rPr>
          <w:rtl/>
          <w:lang w:bidi="ar-SA"/>
        </w:rPr>
      </w:pPr>
      <w:hyperlink r:id="rId8" w:history="1">
        <w:r w:rsidR="00C719E2" w:rsidRPr="00C719E2">
          <w:rPr>
            <w:rStyle w:val="Hyperlink"/>
            <w:rtl/>
            <w:lang w:bidi="ar-SA"/>
          </w:rPr>
          <w:t>تيموثاوس - خادم يسوع المسيح</w:t>
        </w:r>
      </w:hyperlink>
    </w:p>
    <w:p w14:paraId="719452F1" w14:textId="73918694" w:rsidR="00C719E2" w:rsidRDefault="00C719E2" w:rsidP="00C719E2">
      <w:pPr>
        <w:bidi w:val="0"/>
        <w:rPr>
          <w:lang w:bidi="ar-SA"/>
        </w:rPr>
      </w:pPr>
      <w:r w:rsidRPr="00C719E2">
        <w:rPr>
          <w:lang w:bidi="ar-SA"/>
        </w:rPr>
        <w:t>Georges André</w:t>
      </w:r>
    </w:p>
    <w:p w14:paraId="1FFD8381" w14:textId="13B3F862" w:rsidR="00C719E2" w:rsidRDefault="00C719E2">
      <w:pPr>
        <w:rPr>
          <w:rtl/>
          <w:lang w:bidi="ar-SA"/>
        </w:rPr>
      </w:pPr>
      <w:r>
        <w:rPr>
          <w:rFonts w:hint="cs"/>
          <w:rtl/>
          <w:lang w:bidi="ar-SA"/>
        </w:rPr>
        <w:t>إننا في الكتاب المقدس لا نملك وصفًا متواصلاً لحياة تيموثاوس كما نجده على سبيل المثل عن داود، يوسف، دانيال أو آخرين غيرهم. كما وهو لا يحتل في العهد الجديد على أية مكانة كبيرة. فقد تم ذكره 24 مرة في أعمال الرسل و 11 في الرسائل، حيث أن موضعين موجهان إليه شخصيًا. وبولس ارتبط بتيموثاوس في ستة رسائل كتبها. ورسالة رومية، غلاطية وأفسس ليست من ضمنها التي فيها يقدم بولس نفسه فقط في سيادته الرسولية لمستلميها، كما ورسالة تيطس والتي لها طابع شخصي.</w:t>
      </w:r>
    </w:p>
    <w:p w14:paraId="2E1CEB3B" w14:textId="77777777" w:rsidR="00C719E2" w:rsidRDefault="00C719E2">
      <w:pPr>
        <w:rPr>
          <w:rtl/>
          <w:lang w:bidi="ar-SA"/>
        </w:rPr>
        <w:sectPr w:rsidR="00C719E2">
          <w:pgSz w:w="12240" w:h="15840"/>
          <w:pgMar w:top="1440" w:right="1800" w:bottom="1440" w:left="1800" w:header="720" w:footer="720" w:gutter="0"/>
          <w:cols w:space="720"/>
          <w:docGrid w:linePitch="360"/>
        </w:sectPr>
      </w:pPr>
      <w:r>
        <w:rPr>
          <w:rFonts w:hint="cs"/>
          <w:rtl/>
          <w:lang w:bidi="ar-SA"/>
        </w:rPr>
        <w:t>إننا سوف نفتش في المواضع المختلفة التي ذُكر فيها حتى تتكون لنا الفكرة ما تريد كلمة الله بأن تخبرنا به. وهو يبقى لنا مثال جدير بالذكر من جهة كيف يدعو الرب الخادم ويشكله ويستخدمه أخيرًا لخير خاصته.</w:t>
      </w:r>
    </w:p>
    <w:p w14:paraId="632BBF29" w14:textId="1578F734" w:rsidR="00C719E2" w:rsidRDefault="00000000">
      <w:pPr>
        <w:rPr>
          <w:rtl/>
          <w:lang w:bidi="ar-SA"/>
        </w:rPr>
      </w:pPr>
      <w:hyperlink r:id="rId9" w:history="1">
        <w:r w:rsidR="00C719E2" w:rsidRPr="00C719E2">
          <w:rPr>
            <w:rStyle w:val="Hyperlink"/>
            <w:rFonts w:hint="cs"/>
            <w:rtl/>
            <w:lang w:bidi="ar-SA"/>
          </w:rPr>
          <w:t>حياة تيموثاوس</w:t>
        </w:r>
      </w:hyperlink>
    </w:p>
    <w:p w14:paraId="6F987CB0" w14:textId="2240B5FA" w:rsidR="00C719E2" w:rsidRDefault="00C719E2" w:rsidP="00C719E2">
      <w:pPr>
        <w:pStyle w:val="ListParagraph"/>
        <w:numPr>
          <w:ilvl w:val="0"/>
          <w:numId w:val="1"/>
        </w:numPr>
        <w:rPr>
          <w:lang w:bidi="ar-SA"/>
        </w:rPr>
      </w:pPr>
      <w:r>
        <w:rPr>
          <w:rFonts w:hint="cs"/>
          <w:rtl/>
          <w:lang w:bidi="ar-SA"/>
        </w:rPr>
        <w:t>طفولته وصباه</w:t>
      </w:r>
    </w:p>
    <w:p w14:paraId="25C2BFDA" w14:textId="293C428E" w:rsidR="00C719E2" w:rsidRDefault="00C719E2" w:rsidP="00C719E2">
      <w:pPr>
        <w:pStyle w:val="ListParagraph"/>
        <w:rPr>
          <w:rtl/>
          <w:lang w:bidi="ar-SA"/>
        </w:rPr>
      </w:pPr>
      <w:r>
        <w:rPr>
          <w:rFonts w:hint="cs"/>
          <w:rtl/>
          <w:lang w:bidi="ar-SA"/>
        </w:rPr>
        <w:t xml:space="preserve">أعمال الرسل 16: 1 </w:t>
      </w:r>
      <w:r>
        <w:rPr>
          <w:rtl/>
          <w:lang w:bidi="ar-SA"/>
        </w:rPr>
        <w:t>–</w:t>
      </w:r>
      <w:r>
        <w:rPr>
          <w:rFonts w:hint="cs"/>
          <w:rtl/>
          <w:lang w:bidi="ar-SA"/>
        </w:rPr>
        <w:t xml:space="preserve"> 3؛ 2. تيموثاوس 1: 5؛ 3</w:t>
      </w:r>
      <w:r w:rsidR="00267E73">
        <w:rPr>
          <w:rFonts w:hint="cs"/>
          <w:rtl/>
          <w:lang w:bidi="ar-SA"/>
        </w:rPr>
        <w:t>: 14، 15.</w:t>
      </w:r>
    </w:p>
    <w:p w14:paraId="214803B9" w14:textId="5820DBA9" w:rsidR="00267E73" w:rsidRDefault="00267E73" w:rsidP="00C719E2">
      <w:pPr>
        <w:pStyle w:val="ListParagraph"/>
        <w:rPr>
          <w:rtl/>
          <w:lang w:bidi="ar-SA"/>
        </w:rPr>
      </w:pPr>
      <w:r>
        <w:rPr>
          <w:rFonts w:hint="cs"/>
          <w:rtl/>
          <w:lang w:bidi="ar-SA"/>
        </w:rPr>
        <w:t>بصراحة يقول لنا في الكتاب المقدس، بأن أم تيموثاوس أفنيكي كانت "امرأة يهودية تقية". وذات "الإيمان العديم الرياء" كان كذلك في جدته، لوئيس. فالحديث هو عن امرأتين قد تربيتا في الديانة اليهودية وكان لهما ذات الإيمان بالله مثل بولس، الذي خدمه "</w:t>
      </w:r>
      <w:r w:rsidR="00AC4A91" w:rsidRPr="00AC4A91">
        <w:rPr>
          <w:rtl/>
          <w:lang w:bidi="ar-SA"/>
        </w:rPr>
        <w:t>مِنْ أَجْدَادِي</w:t>
      </w:r>
      <w:r>
        <w:rPr>
          <w:rFonts w:hint="cs"/>
          <w:rtl/>
          <w:lang w:bidi="ar-SA"/>
        </w:rPr>
        <w:t xml:space="preserve">" (2. </w:t>
      </w:r>
      <w:r w:rsidRPr="00181A5E">
        <w:rPr>
          <w:rFonts w:hint="cs"/>
          <w:rtl/>
          <w:lang w:bidi="ar-SA"/>
        </w:rPr>
        <w:t>تيموثاوس</w:t>
      </w:r>
      <w:r>
        <w:rPr>
          <w:rFonts w:hint="cs"/>
          <w:rtl/>
          <w:lang w:bidi="ar-SA"/>
        </w:rPr>
        <w:t xml:space="preserve"> 1: 3). </w:t>
      </w:r>
      <w:r w:rsidR="00181A5E">
        <w:rPr>
          <w:rFonts w:hint="cs"/>
          <w:rtl/>
          <w:lang w:bidi="ar-SA"/>
        </w:rPr>
        <w:t>فالإيمان هو إيمان شخص يهودي تميّز في تقويته في مفهوم العهد القديم.</w:t>
      </w:r>
    </w:p>
    <w:p w14:paraId="7DA99E1C" w14:textId="494B5711" w:rsidR="00181A5E" w:rsidRDefault="00181A5E" w:rsidP="00C719E2">
      <w:pPr>
        <w:pStyle w:val="ListParagraph"/>
        <w:rPr>
          <w:rtl/>
          <w:lang w:bidi="ar-SA"/>
        </w:rPr>
      </w:pPr>
      <w:r>
        <w:rPr>
          <w:rFonts w:hint="cs"/>
          <w:rtl/>
          <w:lang w:bidi="ar-SA"/>
        </w:rPr>
        <w:t>أما والد تيموثاوس بالمقابل فقد كان يونانيًا. ولا نجد من نحوه أية تلميحات البتة. ولذا من الممكن أن نفترض بأنه كان غير مؤمن على عكس أم تيموثاوس، أو على الأقل لم يكن لديه ذات الإيمان. وواضح أن هذا هو سبب عدم اختتان ولدهم بحسب الشرع اليهودي.</w:t>
      </w:r>
    </w:p>
    <w:p w14:paraId="4C3D32DC" w14:textId="61757DE8" w:rsidR="00181A5E" w:rsidRDefault="00181A5E" w:rsidP="00C719E2">
      <w:pPr>
        <w:pStyle w:val="ListParagraph"/>
        <w:rPr>
          <w:rtl/>
          <w:lang w:bidi="ar-SA"/>
        </w:rPr>
      </w:pPr>
      <w:r>
        <w:rPr>
          <w:rFonts w:hint="cs"/>
          <w:rtl/>
          <w:lang w:bidi="ar-SA"/>
        </w:rPr>
        <w:t xml:space="preserve">فما لدينا هنا هو عائلة منقسمة: أم تقية، </w:t>
      </w:r>
      <w:r w:rsidR="00657BCF">
        <w:rPr>
          <w:rFonts w:hint="cs"/>
          <w:rtl/>
          <w:lang w:bidi="ar-SA"/>
        </w:rPr>
        <w:t>و</w:t>
      </w:r>
      <w:r>
        <w:rPr>
          <w:rFonts w:hint="cs"/>
          <w:rtl/>
          <w:lang w:bidi="ar-SA"/>
        </w:rPr>
        <w:t>أبٌ، والذي على الأقل هو غير مبالي. فكيف حدث أن أفنيكي تزوجت برجل أممي على نقيض الشريعة اليهودية، التي عرفاها جيدًا؟ فهذا الأمر لم نُبلّغ به.</w:t>
      </w:r>
      <w:r>
        <w:rPr>
          <w:rStyle w:val="FootnoteReference"/>
          <w:rtl/>
          <w:lang w:bidi="ar-SA"/>
        </w:rPr>
        <w:footnoteReference w:id="1"/>
      </w:r>
      <w:r>
        <w:rPr>
          <w:rFonts w:hint="cs"/>
          <w:rtl/>
          <w:lang w:bidi="ar-SA"/>
        </w:rPr>
        <w:t xml:space="preserve"> ولكن الصعوبة كانت موجودة كما هو الحال أيضًا في الكثير من العائلات اليوم.</w:t>
      </w:r>
    </w:p>
    <w:p w14:paraId="46A6F446" w14:textId="1489FB08" w:rsidR="00181A5E" w:rsidRDefault="00181A5E" w:rsidP="00C719E2">
      <w:pPr>
        <w:pStyle w:val="ListParagraph"/>
        <w:rPr>
          <w:rtl/>
          <w:lang w:bidi="ar-SA"/>
        </w:rPr>
      </w:pPr>
      <w:r>
        <w:rPr>
          <w:rFonts w:hint="cs"/>
          <w:rtl/>
          <w:lang w:bidi="ar-SA"/>
        </w:rPr>
        <w:t>فمن الممكن أن يحدث مثل هذا الحال اليوم، بأن طرفًا من الزوجين يؤمن من بعد العرس، بينما الآخر يبقى بعيدًا عن الإيمان المسيحي. وقد تصدر أيضًا من زواج</w:t>
      </w:r>
      <w:r w:rsidR="00657BCF">
        <w:rPr>
          <w:rFonts w:hint="cs"/>
          <w:rtl/>
          <w:lang w:bidi="ar-SA"/>
        </w:rPr>
        <w:t xml:space="preserve"> يتناقض تمامًا مع الكتاب المقدس </w:t>
      </w:r>
      <w:r w:rsidR="00657BCF">
        <w:rPr>
          <w:rtl/>
          <w:lang w:bidi="ar-SA"/>
        </w:rPr>
        <w:t>–</w:t>
      </w:r>
      <w:r w:rsidR="00657BCF">
        <w:rPr>
          <w:rFonts w:hint="cs"/>
          <w:rtl/>
          <w:lang w:bidi="ar-SA"/>
        </w:rPr>
        <w:t xml:space="preserve"> كل ما علينا تذكره هو 2. كورنثوس 6: 14، 15 -، أي عندما يتزوج مؤمن بغير بمؤمنة. وقد يطرأ للأسف مثل هذا الوضع أيضًا، في أن يُظهر شخص بأنه مؤمن، إلا أنه يُصاب بالبرود في هذا الصدد: فلا يكون للإيمان وجود فعليًا أو ببساطة يكون كنتيجة ظاهرية من التربية. أحيانًا العدو أيضًا يقوم بعمله بإبعاد مؤمن عن درب الإيمان، وعلى الأقل لمدة وجيزة.</w:t>
      </w:r>
    </w:p>
    <w:p w14:paraId="41A69125" w14:textId="272AAAF5" w:rsidR="00657BCF" w:rsidRDefault="00657BCF" w:rsidP="00C719E2">
      <w:pPr>
        <w:pStyle w:val="ListParagraph"/>
        <w:rPr>
          <w:rtl/>
          <w:lang w:bidi="ar-SA"/>
        </w:rPr>
      </w:pPr>
      <w:r>
        <w:rPr>
          <w:rFonts w:hint="cs"/>
          <w:rtl/>
          <w:lang w:bidi="ar-SA"/>
        </w:rPr>
        <w:t xml:space="preserve">فما أصعب تربية الأولاد غي تأديب الرب وإنذاره في مثل هذا الكوكبة (أفسس 6: 4)! ويا له من وضع أسيف لكثير من الأمهات المؤمنات، اللواتي قد يعينهن الله كما فعل كذلك في حالة تيموثاوس. فأفنيكي لم تسمح لزوجها بأن يبعدها عن تربية كتابية: "من الطفولية" </w:t>
      </w:r>
      <w:r w:rsidR="00C95487">
        <w:rPr>
          <w:rFonts w:hint="cs"/>
          <w:rtl/>
          <w:lang w:bidi="ar-SA"/>
        </w:rPr>
        <w:t xml:space="preserve">عرف تيموثاوس الكتب المقدسة. وبلا شك أنها طبقت عمليًا الإنذار المُعطى للآباء في سفر التثنية 6: 6 </w:t>
      </w:r>
      <w:r w:rsidR="00C95487">
        <w:rPr>
          <w:rtl/>
          <w:lang w:bidi="ar-SA"/>
        </w:rPr>
        <w:t>–</w:t>
      </w:r>
      <w:r w:rsidR="00C95487">
        <w:rPr>
          <w:rFonts w:hint="cs"/>
          <w:rtl/>
          <w:lang w:bidi="ar-SA"/>
        </w:rPr>
        <w:t xml:space="preserve"> 9: "</w:t>
      </w:r>
      <w:r w:rsidR="00C95487" w:rsidRPr="00C95487">
        <w:rPr>
          <w:rFonts w:ascii="Tahoma" w:hAnsi="Tahoma" w:cs="Tahoma"/>
          <w:lang w:bidi="ar-SA"/>
        </w:rPr>
        <w:t>﻿</w:t>
      </w:r>
      <w:r w:rsidR="00C95487" w:rsidRPr="00C95487">
        <w:rPr>
          <w:rtl/>
          <w:lang w:bidi="ar-SA"/>
        </w:rPr>
        <w:t xml:space="preserve"> </w:t>
      </w:r>
      <w:r w:rsidR="00C95487" w:rsidRPr="00C95487">
        <w:rPr>
          <w:rFonts w:ascii="Tahoma" w:hAnsi="Tahoma" w:cs="Tahoma" w:hint="cs"/>
          <w:rtl/>
          <w:lang w:bidi="ar-SA"/>
        </w:rPr>
        <w:t>﻿</w:t>
      </w:r>
      <w:r w:rsidR="00C95487" w:rsidRPr="00C95487">
        <w:rPr>
          <w:rFonts w:hint="cs"/>
          <w:rtl/>
          <w:lang w:bidi="ar-SA"/>
        </w:rPr>
        <w:t>وَلْتَكُنْ</w:t>
      </w:r>
      <w:r w:rsidR="00C95487" w:rsidRPr="00C95487">
        <w:rPr>
          <w:rtl/>
          <w:lang w:bidi="ar-SA"/>
        </w:rPr>
        <w:t xml:space="preserve"> </w:t>
      </w:r>
      <w:r w:rsidR="00C95487" w:rsidRPr="00C95487">
        <w:rPr>
          <w:rFonts w:hint="cs"/>
          <w:rtl/>
          <w:lang w:bidi="ar-SA"/>
        </w:rPr>
        <w:t>هذِهِ</w:t>
      </w:r>
      <w:r w:rsidR="00C95487" w:rsidRPr="00C95487">
        <w:rPr>
          <w:rtl/>
          <w:lang w:bidi="ar-SA"/>
        </w:rPr>
        <w:t xml:space="preserve"> </w:t>
      </w:r>
      <w:r w:rsidR="00C95487" w:rsidRPr="00C95487">
        <w:rPr>
          <w:rFonts w:hint="cs"/>
          <w:rtl/>
          <w:lang w:bidi="ar-SA"/>
        </w:rPr>
        <w:t>الْكَلِمَاتُ</w:t>
      </w:r>
      <w:r w:rsidR="00C95487" w:rsidRPr="00C95487">
        <w:rPr>
          <w:rtl/>
          <w:lang w:bidi="ar-SA"/>
        </w:rPr>
        <w:t xml:space="preserve"> </w:t>
      </w:r>
      <w:r w:rsidR="00C95487" w:rsidRPr="00C95487">
        <w:rPr>
          <w:rFonts w:hint="cs"/>
          <w:rtl/>
          <w:lang w:bidi="ar-SA"/>
        </w:rPr>
        <w:t>الَّتِي</w:t>
      </w:r>
      <w:r w:rsidR="00C95487" w:rsidRPr="00C95487">
        <w:rPr>
          <w:rtl/>
          <w:lang w:bidi="ar-SA"/>
        </w:rPr>
        <w:t xml:space="preserve"> </w:t>
      </w:r>
      <w:r w:rsidR="00C95487" w:rsidRPr="00C95487">
        <w:rPr>
          <w:rFonts w:hint="cs"/>
          <w:rtl/>
          <w:lang w:bidi="ar-SA"/>
        </w:rPr>
        <w:t>أَنَا</w:t>
      </w:r>
      <w:r w:rsidR="00C95487" w:rsidRPr="00C95487">
        <w:rPr>
          <w:rtl/>
          <w:lang w:bidi="ar-SA"/>
        </w:rPr>
        <w:t xml:space="preserve"> </w:t>
      </w:r>
      <w:r w:rsidR="00C95487" w:rsidRPr="00C95487">
        <w:rPr>
          <w:rFonts w:hint="cs"/>
          <w:rtl/>
          <w:lang w:bidi="ar-SA"/>
        </w:rPr>
        <w:t>أُوصِيكَ</w:t>
      </w:r>
      <w:r w:rsidR="00C95487" w:rsidRPr="00C95487">
        <w:rPr>
          <w:rtl/>
          <w:lang w:bidi="ar-SA"/>
        </w:rPr>
        <w:t xml:space="preserve"> </w:t>
      </w:r>
      <w:r w:rsidR="00C95487" w:rsidRPr="00C95487">
        <w:rPr>
          <w:rFonts w:hint="cs"/>
          <w:rtl/>
          <w:lang w:bidi="ar-SA"/>
        </w:rPr>
        <w:t>بِهَا</w:t>
      </w:r>
      <w:r w:rsidR="00C95487" w:rsidRPr="00C95487">
        <w:rPr>
          <w:rtl/>
          <w:lang w:bidi="ar-SA"/>
        </w:rPr>
        <w:t xml:space="preserve"> </w:t>
      </w:r>
      <w:r w:rsidR="00C95487" w:rsidRPr="00C95487">
        <w:rPr>
          <w:rFonts w:hint="cs"/>
          <w:rtl/>
          <w:lang w:bidi="ar-SA"/>
        </w:rPr>
        <w:t>الْيَوْمَ</w:t>
      </w:r>
      <w:r w:rsidR="00C95487" w:rsidRPr="00C95487">
        <w:rPr>
          <w:rtl/>
          <w:lang w:bidi="ar-SA"/>
        </w:rPr>
        <w:t xml:space="preserve"> </w:t>
      </w:r>
      <w:r w:rsidR="00C95487" w:rsidRPr="00C95487">
        <w:rPr>
          <w:rFonts w:hint="cs"/>
          <w:rtl/>
          <w:lang w:bidi="ar-SA"/>
        </w:rPr>
        <w:t>عَلَى</w:t>
      </w:r>
      <w:r w:rsidR="00C95487" w:rsidRPr="00C95487">
        <w:rPr>
          <w:rtl/>
          <w:lang w:bidi="ar-SA"/>
        </w:rPr>
        <w:t xml:space="preserve"> </w:t>
      </w:r>
      <w:r w:rsidR="00C95487" w:rsidRPr="00C95487">
        <w:rPr>
          <w:rFonts w:hint="cs"/>
          <w:rtl/>
          <w:lang w:bidi="ar-SA"/>
        </w:rPr>
        <w:t>قَلْبِكَ،</w:t>
      </w:r>
      <w:r w:rsidR="00C95487" w:rsidRPr="00C95487">
        <w:rPr>
          <w:rtl/>
          <w:lang w:bidi="ar-SA"/>
        </w:rPr>
        <w:t xml:space="preserve">  </w:t>
      </w:r>
      <w:r w:rsidR="00C95487" w:rsidRPr="00C95487">
        <w:rPr>
          <w:rFonts w:ascii="Tahoma" w:hAnsi="Tahoma" w:cs="Tahoma" w:hint="cs"/>
          <w:rtl/>
          <w:lang w:bidi="ar-SA"/>
        </w:rPr>
        <w:t>﻿</w:t>
      </w:r>
      <w:r w:rsidR="00C95487" w:rsidRPr="00C95487">
        <w:rPr>
          <w:rtl/>
          <w:lang w:bidi="ar-SA"/>
        </w:rPr>
        <w:t>7</w:t>
      </w:r>
      <w:r w:rsidR="00C95487" w:rsidRPr="00C95487">
        <w:rPr>
          <w:rFonts w:ascii="Tahoma" w:hAnsi="Tahoma" w:cs="Tahoma" w:hint="cs"/>
          <w:rtl/>
          <w:lang w:bidi="ar-SA"/>
        </w:rPr>
        <w:t>﻿</w:t>
      </w:r>
      <w:r w:rsidR="00C95487" w:rsidRPr="00C95487">
        <w:rPr>
          <w:rtl/>
          <w:lang w:bidi="ar-SA"/>
        </w:rPr>
        <w:t xml:space="preserve"> </w:t>
      </w:r>
      <w:r w:rsidR="00C95487" w:rsidRPr="00C95487">
        <w:rPr>
          <w:rFonts w:ascii="Tahoma" w:hAnsi="Tahoma" w:cs="Tahoma" w:hint="cs"/>
          <w:rtl/>
          <w:lang w:bidi="ar-SA"/>
        </w:rPr>
        <w:t>﻿</w:t>
      </w:r>
      <w:r w:rsidR="00C95487" w:rsidRPr="00C95487">
        <w:rPr>
          <w:rFonts w:hint="cs"/>
          <w:rtl/>
          <w:lang w:bidi="ar-SA"/>
        </w:rPr>
        <w:t>وَقُصَّهَا</w:t>
      </w:r>
      <w:r w:rsidR="00C95487" w:rsidRPr="00C95487">
        <w:rPr>
          <w:rtl/>
          <w:lang w:bidi="ar-SA"/>
        </w:rPr>
        <w:t xml:space="preserve"> </w:t>
      </w:r>
      <w:r w:rsidR="00C95487" w:rsidRPr="00C95487">
        <w:rPr>
          <w:rFonts w:hint="cs"/>
          <w:rtl/>
          <w:lang w:bidi="ar-SA"/>
        </w:rPr>
        <w:t>عَلَى</w:t>
      </w:r>
      <w:r w:rsidR="00C95487" w:rsidRPr="00C95487">
        <w:rPr>
          <w:rtl/>
          <w:lang w:bidi="ar-SA"/>
        </w:rPr>
        <w:t xml:space="preserve"> </w:t>
      </w:r>
      <w:r w:rsidR="00C95487" w:rsidRPr="00C95487">
        <w:rPr>
          <w:rFonts w:hint="cs"/>
          <w:rtl/>
          <w:lang w:bidi="ar-SA"/>
        </w:rPr>
        <w:t>أَوْلاَدِكَ،</w:t>
      </w:r>
      <w:r w:rsidR="00C95487">
        <w:rPr>
          <w:rFonts w:hint="cs"/>
          <w:rtl/>
          <w:lang w:bidi="ar-SA"/>
        </w:rPr>
        <w:t>" فقد كان عليها أن تتقبل عدم اختتان ابنها. ولكن من جهة كلمة الله فقد أصابت في تصرفها.</w:t>
      </w:r>
    </w:p>
    <w:p w14:paraId="6B03777F" w14:textId="1E31397A" w:rsidR="00C95487" w:rsidRDefault="00C95487" w:rsidP="00C719E2">
      <w:pPr>
        <w:pStyle w:val="ListParagraph"/>
        <w:rPr>
          <w:rtl/>
          <w:lang w:bidi="ar-SA"/>
        </w:rPr>
      </w:pPr>
      <w:r>
        <w:rPr>
          <w:rFonts w:hint="cs"/>
          <w:rtl/>
          <w:lang w:bidi="ar-SA"/>
        </w:rPr>
        <w:t>ولكن الأمر</w:t>
      </w:r>
      <w:r w:rsidRPr="00C95487">
        <w:rPr>
          <w:rtl/>
        </w:rPr>
        <w:t xml:space="preserve"> </w:t>
      </w:r>
      <w:r w:rsidRPr="00C95487">
        <w:rPr>
          <w:rtl/>
          <w:lang w:bidi="ar-SA"/>
        </w:rPr>
        <w:t>كان</w:t>
      </w:r>
      <w:r>
        <w:rPr>
          <w:rFonts w:hint="cs"/>
          <w:rtl/>
          <w:lang w:bidi="ar-SA"/>
        </w:rPr>
        <w:t xml:space="preserve"> يتطلب إلى ما هو أكثر من ذلك: فلقد كان على الله أن يتمم عملاً في الصبي تيموثاوس، وكان على ذاك أن يؤمن بشكل شخصي حتى ينال الحياة الإلهية.</w:t>
      </w:r>
    </w:p>
    <w:p w14:paraId="26545B23" w14:textId="284BD235" w:rsidR="00C95487" w:rsidRDefault="00C95487" w:rsidP="00C719E2">
      <w:pPr>
        <w:pStyle w:val="ListParagraph"/>
        <w:rPr>
          <w:rtl/>
          <w:lang w:bidi="ar-SA"/>
        </w:rPr>
      </w:pPr>
      <w:r>
        <w:rPr>
          <w:rFonts w:hint="cs"/>
          <w:rtl/>
          <w:lang w:bidi="ar-SA"/>
        </w:rPr>
        <w:t>ب) الرجوع بالإيمان</w:t>
      </w:r>
    </w:p>
    <w:p w14:paraId="53326CD0" w14:textId="020E7C9D" w:rsidR="00C95487" w:rsidRDefault="00C95487" w:rsidP="00C719E2">
      <w:pPr>
        <w:pStyle w:val="ListParagraph"/>
        <w:rPr>
          <w:rtl/>
          <w:lang w:bidi="ar-SA"/>
        </w:rPr>
      </w:pPr>
      <w:r>
        <w:rPr>
          <w:rFonts w:hint="cs"/>
          <w:rtl/>
          <w:lang w:bidi="ar-SA"/>
        </w:rPr>
        <w:t xml:space="preserve">فقد اكتمل عمل الله داخل تيموثاوس. وهذا ما نراه في 2. تيموثاوس 3: 14، 15. فلقد كان "يعرف" الكتب المقدسة منذ الطفولية. فلقد حكّمته للخلاص. ولهذا كان "الإيمان الذي بيسوع المسيح" ضروريًا. ومن بعدها بلا شك "تعلّم" من فم بولس نفسه، كل </w:t>
      </w:r>
      <w:r w:rsidR="004D0E03">
        <w:rPr>
          <w:rFonts w:hint="cs"/>
          <w:rtl/>
          <w:lang w:bidi="ar-SA"/>
        </w:rPr>
        <w:t>ما تعلق بالإنجيل والحقائق المرتبطة به. وفي النهاية كان تيموثاوس "مقتنعًا" تمامًا بهذه الأمور. فالتعلّم لا يكفي وإن كان لا غنى عنه. فالاقتناع الشخصي الداخلي ضروري؛ ولا يمكن أن يتأسس إلا على كلمة الله، على المصدر ذاته، أساس كل ضمان بتعليم روح الله.</w:t>
      </w:r>
    </w:p>
    <w:p w14:paraId="00D0D2CE" w14:textId="70B10F20" w:rsidR="008174D3" w:rsidRDefault="008174D3" w:rsidP="00C719E2">
      <w:pPr>
        <w:pStyle w:val="ListParagraph"/>
        <w:rPr>
          <w:rtl/>
          <w:lang w:bidi="ar-SA"/>
        </w:rPr>
      </w:pPr>
      <w:r>
        <w:rPr>
          <w:rFonts w:hint="cs"/>
          <w:rtl/>
          <w:lang w:bidi="ar-SA"/>
        </w:rPr>
        <w:t>فعلى هذا النحو من الممكن أن نميّز أربع مراحل:</w:t>
      </w:r>
    </w:p>
    <w:p w14:paraId="794D37CA" w14:textId="6649537A" w:rsidR="008174D3" w:rsidRDefault="008174D3" w:rsidP="008174D3">
      <w:pPr>
        <w:pStyle w:val="ListParagraph"/>
        <w:numPr>
          <w:ilvl w:val="0"/>
          <w:numId w:val="2"/>
        </w:numPr>
        <w:rPr>
          <w:lang w:bidi="ar-SA"/>
        </w:rPr>
      </w:pPr>
      <w:r>
        <w:rPr>
          <w:rFonts w:hint="cs"/>
          <w:rtl/>
          <w:lang w:bidi="ar-SA"/>
        </w:rPr>
        <w:t>معرفة الكتب المقدسة: ويتم اكتسابها في العائلة المسيحية، في مدرسة الأحد وفي الاجتماعات.</w:t>
      </w:r>
    </w:p>
    <w:p w14:paraId="7689160F" w14:textId="4A252E38" w:rsidR="008174D3" w:rsidRDefault="008174D3" w:rsidP="008174D3">
      <w:pPr>
        <w:pStyle w:val="ListParagraph"/>
        <w:numPr>
          <w:ilvl w:val="0"/>
          <w:numId w:val="2"/>
        </w:numPr>
        <w:rPr>
          <w:lang w:bidi="ar-SA"/>
        </w:rPr>
      </w:pPr>
      <w:r>
        <w:rPr>
          <w:rFonts w:hint="cs"/>
          <w:rtl/>
          <w:lang w:bidi="ar-SA"/>
        </w:rPr>
        <w:t>الإيمان: وهذا يُصادق على أن الله صادق. فالإيمان يستقبل كلمته في الضمير والقلب ليلتصق بشخص الرب يسوع، المخلص الوحيد.</w:t>
      </w:r>
    </w:p>
    <w:p w14:paraId="14DBC41D" w14:textId="04870C32" w:rsidR="008174D3" w:rsidRDefault="008174D3" w:rsidP="008174D3">
      <w:pPr>
        <w:pStyle w:val="ListParagraph"/>
        <w:numPr>
          <w:ilvl w:val="0"/>
          <w:numId w:val="2"/>
        </w:numPr>
        <w:rPr>
          <w:lang w:bidi="ar-SA"/>
        </w:rPr>
      </w:pPr>
      <w:r>
        <w:rPr>
          <w:rFonts w:hint="cs"/>
          <w:rtl/>
          <w:lang w:bidi="ar-SA"/>
        </w:rPr>
        <w:t>النمو في أمور الرب: من هنا هي أهمية دراسة الكتاب المقدس وحضور الاجتماعات. فهناك تكون استفادة من خدمة الوعظ من دون اهمال الخدمة الخطية المتاحة لنا. فالخدمة الثانية على المسيحي الشاب أن يخصص</w:t>
      </w:r>
      <w:r w:rsidR="0048100D">
        <w:rPr>
          <w:rFonts w:hint="cs"/>
          <w:rtl/>
          <w:lang w:bidi="ar-SA"/>
        </w:rPr>
        <w:t xml:space="preserve"> لها</w:t>
      </w:r>
      <w:r>
        <w:rPr>
          <w:rFonts w:hint="cs"/>
          <w:rtl/>
          <w:lang w:bidi="ar-SA"/>
        </w:rPr>
        <w:t xml:space="preserve"> </w:t>
      </w:r>
      <w:r w:rsidR="0048100D">
        <w:rPr>
          <w:rFonts w:hint="cs"/>
          <w:rtl/>
          <w:lang w:bidi="ar-SA"/>
        </w:rPr>
        <w:t>على الأقل فترة معينة يوميًا.</w:t>
      </w:r>
    </w:p>
    <w:p w14:paraId="23D13ED8" w14:textId="615DBF9E" w:rsidR="0048100D" w:rsidRDefault="0048100D" w:rsidP="008174D3">
      <w:pPr>
        <w:pStyle w:val="ListParagraph"/>
        <w:numPr>
          <w:ilvl w:val="0"/>
          <w:numId w:val="2"/>
        </w:numPr>
        <w:rPr>
          <w:lang w:bidi="ar-SA"/>
        </w:rPr>
      </w:pPr>
      <w:r>
        <w:rPr>
          <w:rFonts w:hint="cs"/>
          <w:rtl/>
          <w:lang w:bidi="ar-SA"/>
        </w:rPr>
        <w:t>الاقتناع الشخصي: وهو لا يأتي ببساطة مما قد عرفه المرء أو تعلمه متأثرًا من آخرين. فهو يتم ظهوره بنعمة الله وروحه عندما يتأمل المرء عن قُرب بحقائق الكتاب. "</w:t>
      </w:r>
      <w:r w:rsidRPr="0048100D">
        <w:rPr>
          <w:rtl/>
          <w:lang w:bidi="ar-SA"/>
        </w:rPr>
        <w:t xml:space="preserve"> افْهَمْ مَا أَقُولُ. فَلْيُعْطِكَ الرَّبُّ فَهْمًا فِي كُلِّ شَيْءٍ.</w:t>
      </w:r>
      <w:r>
        <w:rPr>
          <w:rFonts w:hint="cs"/>
          <w:rtl/>
          <w:lang w:bidi="ar-SA"/>
        </w:rPr>
        <w:t>" (2. تيموثاوس 2: 7).</w:t>
      </w:r>
    </w:p>
    <w:p w14:paraId="3E98DC85" w14:textId="16F5070F" w:rsidR="0048100D" w:rsidRDefault="0048100D" w:rsidP="0048100D">
      <w:pPr>
        <w:rPr>
          <w:rtl/>
          <w:lang w:bidi="ar-SA"/>
        </w:rPr>
      </w:pPr>
      <w:r>
        <w:rPr>
          <w:rFonts w:hint="cs"/>
          <w:rtl/>
          <w:lang w:bidi="ar-SA"/>
        </w:rPr>
        <w:t xml:space="preserve">فمتى اكتمل عمل النعمة هذا داخل قلب </w:t>
      </w:r>
      <w:r w:rsidRPr="003D0A50">
        <w:rPr>
          <w:rFonts w:hint="cs"/>
          <w:rtl/>
          <w:lang w:bidi="ar-SA"/>
        </w:rPr>
        <w:t>تيموثاوس</w:t>
      </w:r>
      <w:r>
        <w:rPr>
          <w:rFonts w:hint="cs"/>
          <w:rtl/>
          <w:lang w:bidi="ar-SA"/>
        </w:rPr>
        <w:t>؟</w:t>
      </w:r>
    </w:p>
    <w:p w14:paraId="50031D25" w14:textId="682F933B" w:rsidR="003D0A50" w:rsidRDefault="003D0A50" w:rsidP="0048100D">
      <w:pPr>
        <w:rPr>
          <w:rtl/>
          <w:lang w:bidi="ar-SA"/>
        </w:rPr>
      </w:pPr>
      <w:r>
        <w:rPr>
          <w:rFonts w:hint="cs"/>
          <w:rtl/>
          <w:lang w:bidi="ar-SA"/>
        </w:rPr>
        <w:t>في رحلة بولس التبشيرية الثانية، حينما جاء إلى دربة ولسترا، "</w:t>
      </w:r>
      <w:r w:rsidRPr="003D0A50">
        <w:rPr>
          <w:rtl/>
          <w:lang w:bidi="ar-SA"/>
        </w:rPr>
        <w:t>وَإِذَا تِلْمِيذٌ كَانَ هُنَاكَ اسْمُهُ تِيمُوثَاوُسُ</w:t>
      </w:r>
      <w:r>
        <w:rPr>
          <w:rFonts w:hint="cs"/>
          <w:rtl/>
          <w:lang w:bidi="ar-SA"/>
        </w:rPr>
        <w:t>". فهو لم يكن مجرد ابن لله، وإنما كذلك تلميذًا وكان معروفًا في هذه الصفة. وكانت له في ذلك الوقت شهادة حسنة من إخوة المنطقة هناك. وبالتالي كان رجوعه بالإيمان قد حدث قبل ذلك بفترة.</w:t>
      </w:r>
    </w:p>
    <w:p w14:paraId="44E65E2E" w14:textId="0017E2E4" w:rsidR="003D0A50" w:rsidRDefault="003D0A50" w:rsidP="003D0A50">
      <w:pPr>
        <w:rPr>
          <w:rtl/>
          <w:lang w:bidi="ar-SA"/>
        </w:rPr>
      </w:pPr>
      <w:r>
        <w:rPr>
          <w:rFonts w:hint="cs"/>
          <w:rtl/>
          <w:lang w:bidi="ar-SA"/>
        </w:rPr>
        <w:t>فمن رحلته التبشيرية الأولى كان قد مرّ بولس بإيقونية، دربة ولسترا (أعمال الرسل 14). وجمع غفير هناك من اليهود واليونانيين كانوا قد آمنوا. حتى بولس وبرنابا اضطُهدا بشكل عنيف. وحتى أن بولس لم ينسَ هذا الاضطهاد في نهاية حياته، وإنما بقي يتذكره بشكل أليم. هكذا كتب لتيموثاوس: "</w:t>
      </w:r>
      <w:r>
        <w:rPr>
          <w:rtl/>
          <w:lang w:bidi="ar-SA"/>
        </w:rPr>
        <w:t xml:space="preserve"> وَأَمَّا أَنْتَ فَقَدْ تَبِعْتَ تَعْلِيمِي، وَسِيرَتِي، وَقَصْدِي، وَإِيمَانِي، وَأَنَاتِي، وَمَحَبَّتِي، وَصَبْرِي، وَاضْطِهَادَاتِي، وَآلاَمِي، مِثْلَ مَا أَصَابَنِي فِي أَنْطَاكِيَةَ وَإِيقُونِيَّةَ وَلِسْتِرَةَ. أَيَّةَ اضْطِهَادَاتٍ احْتَمَلْتُ! وَمِنَ الْجَمِيعِ أَنْقَذَنِي الرَّبُّ.</w:t>
      </w:r>
      <w:r>
        <w:rPr>
          <w:rFonts w:hint="cs"/>
          <w:rtl/>
          <w:lang w:bidi="ar-SA"/>
        </w:rPr>
        <w:t>" (2. تيموثاوس 3: 10، 11).</w:t>
      </w:r>
    </w:p>
    <w:p w14:paraId="40E76E71" w14:textId="13154E64" w:rsidR="003D0A50" w:rsidRDefault="007A4AE8" w:rsidP="003D0A50">
      <w:pPr>
        <w:rPr>
          <w:rtl/>
          <w:lang w:bidi="ar-SA"/>
        </w:rPr>
      </w:pPr>
      <w:r>
        <w:rPr>
          <w:rFonts w:hint="cs"/>
          <w:rtl/>
          <w:lang w:bidi="ar-SA"/>
        </w:rPr>
        <w:t>أفلا ترينا هذه الآيات بأن تيموثاوس لا بد وأن كان شاهدًا في هذه الاضطهادات الفظيعة؟ لقد فهم، بأنها لم تكن موجّهة لمجرم أو سياسي</w:t>
      </w:r>
      <w:r w:rsidR="0077290E">
        <w:rPr>
          <w:rFonts w:hint="cs"/>
          <w:rtl/>
          <w:lang w:bidi="ar-SA"/>
        </w:rPr>
        <w:t xml:space="preserve"> تمرد على السلطة الرومانية، وإنما كان على بولس أن يحتملها لأجل الإيمان (قارن فيلبي 1: 12 </w:t>
      </w:r>
      <w:r w:rsidR="0077290E">
        <w:rPr>
          <w:rtl/>
          <w:lang w:bidi="ar-SA"/>
        </w:rPr>
        <w:t>–</w:t>
      </w:r>
      <w:r w:rsidR="0077290E">
        <w:rPr>
          <w:rFonts w:hint="cs"/>
          <w:rtl/>
          <w:lang w:bidi="ar-SA"/>
        </w:rPr>
        <w:t xml:space="preserve"> 14). وفي فرصة أول زيارة لبولس في تلك الضواحي لا بد وأن ابن أفنيكي قد تلامس مع الإنجيل. فقد كان قد رأى ما هي العواقب الناجمة من التمسك بالإنجيل علنًا. لربما كان هو من ضمن مَن "</w:t>
      </w:r>
      <w:r w:rsidR="0077290E" w:rsidRPr="0077290E">
        <w:rPr>
          <w:rtl/>
          <w:lang w:bidi="ar-SA"/>
        </w:rPr>
        <w:t xml:space="preserve"> أَحَاطَ بِهِ</w:t>
      </w:r>
      <w:r w:rsidR="0077290E">
        <w:rPr>
          <w:rFonts w:hint="cs"/>
          <w:rtl/>
          <w:lang w:bidi="ar-SA"/>
        </w:rPr>
        <w:t xml:space="preserve"> (ببولس)"، من بعد رجمه. ومن بعدها بقليل عاد كل من بولس وبرنابا إلى لسترا وإيقونية وأنطاكية، "</w:t>
      </w:r>
      <w:r w:rsidR="0077290E" w:rsidRPr="0077290E">
        <w:rPr>
          <w:rFonts w:ascii="Tahoma" w:hAnsi="Tahoma" w:cs="Tahoma" w:hint="cs"/>
          <w:rtl/>
          <w:lang w:bidi="ar-SA"/>
        </w:rPr>
        <w:t>﻿</w:t>
      </w:r>
      <w:r w:rsidR="0077290E" w:rsidRPr="0077290E">
        <w:rPr>
          <w:rFonts w:hint="cs"/>
          <w:rtl/>
          <w:lang w:bidi="ar-SA"/>
        </w:rPr>
        <w:t>يُشَدِّدَانِ</w:t>
      </w:r>
      <w:r w:rsidR="0077290E" w:rsidRPr="0077290E">
        <w:rPr>
          <w:rtl/>
          <w:lang w:bidi="ar-SA"/>
        </w:rPr>
        <w:t xml:space="preserve"> </w:t>
      </w:r>
      <w:r w:rsidR="0077290E" w:rsidRPr="0077290E">
        <w:rPr>
          <w:rFonts w:hint="cs"/>
          <w:rtl/>
          <w:lang w:bidi="ar-SA"/>
        </w:rPr>
        <w:t>أَنْفُسَ</w:t>
      </w:r>
      <w:r w:rsidR="0077290E" w:rsidRPr="0077290E">
        <w:rPr>
          <w:rtl/>
          <w:lang w:bidi="ar-SA"/>
        </w:rPr>
        <w:t xml:space="preserve"> </w:t>
      </w:r>
      <w:r w:rsidR="0077290E" w:rsidRPr="0077290E">
        <w:rPr>
          <w:rFonts w:hint="cs"/>
          <w:rtl/>
          <w:lang w:bidi="ar-SA"/>
        </w:rPr>
        <w:t>التَّلاَمِيذِ</w:t>
      </w:r>
      <w:r w:rsidR="0077290E" w:rsidRPr="0077290E">
        <w:rPr>
          <w:rtl/>
          <w:lang w:bidi="ar-SA"/>
        </w:rPr>
        <w:t xml:space="preserve"> </w:t>
      </w:r>
      <w:r w:rsidR="0077290E" w:rsidRPr="0077290E">
        <w:rPr>
          <w:rFonts w:hint="cs"/>
          <w:rtl/>
          <w:lang w:bidi="ar-SA"/>
        </w:rPr>
        <w:t>وَيَعِظَانِهِمْ</w:t>
      </w:r>
      <w:r w:rsidR="0077290E" w:rsidRPr="0077290E">
        <w:rPr>
          <w:rtl/>
          <w:lang w:bidi="ar-SA"/>
        </w:rPr>
        <w:t xml:space="preserve"> </w:t>
      </w:r>
      <w:r w:rsidR="0077290E" w:rsidRPr="0077290E">
        <w:rPr>
          <w:rFonts w:hint="cs"/>
          <w:rtl/>
          <w:lang w:bidi="ar-SA"/>
        </w:rPr>
        <w:t>أَنْ</w:t>
      </w:r>
      <w:r w:rsidR="0077290E" w:rsidRPr="0077290E">
        <w:rPr>
          <w:rtl/>
          <w:lang w:bidi="ar-SA"/>
        </w:rPr>
        <w:t xml:space="preserve"> </w:t>
      </w:r>
      <w:r w:rsidR="0077290E" w:rsidRPr="0077290E">
        <w:rPr>
          <w:rFonts w:hint="cs"/>
          <w:rtl/>
          <w:lang w:bidi="ar-SA"/>
        </w:rPr>
        <w:t>يَثْبُتُوا</w:t>
      </w:r>
      <w:r w:rsidR="0077290E" w:rsidRPr="0077290E">
        <w:rPr>
          <w:rtl/>
          <w:lang w:bidi="ar-SA"/>
        </w:rPr>
        <w:t xml:space="preserve"> </w:t>
      </w:r>
      <w:r w:rsidR="0077290E" w:rsidRPr="0077290E">
        <w:rPr>
          <w:rFonts w:hint="cs"/>
          <w:rtl/>
          <w:lang w:bidi="ar-SA"/>
        </w:rPr>
        <w:t>فِي</w:t>
      </w:r>
      <w:r w:rsidR="0077290E" w:rsidRPr="0077290E">
        <w:rPr>
          <w:rtl/>
          <w:lang w:bidi="ar-SA"/>
        </w:rPr>
        <w:t xml:space="preserve"> </w:t>
      </w:r>
      <w:r w:rsidR="0077290E" w:rsidRPr="0077290E">
        <w:rPr>
          <w:rFonts w:hint="cs"/>
          <w:rtl/>
          <w:lang w:bidi="ar-SA"/>
        </w:rPr>
        <w:t>الإِيمَانِ،</w:t>
      </w:r>
      <w:r w:rsidR="0077290E" w:rsidRPr="0077290E">
        <w:rPr>
          <w:rtl/>
          <w:lang w:bidi="ar-SA"/>
        </w:rPr>
        <w:t xml:space="preserve"> </w:t>
      </w:r>
      <w:r w:rsidR="0077290E" w:rsidRPr="0077290E">
        <w:rPr>
          <w:rFonts w:hint="cs"/>
          <w:rtl/>
          <w:lang w:bidi="ar-SA"/>
        </w:rPr>
        <w:t>وَأَنَّهُ</w:t>
      </w:r>
      <w:r w:rsidR="0077290E" w:rsidRPr="0077290E">
        <w:rPr>
          <w:rtl/>
          <w:lang w:bidi="ar-SA"/>
        </w:rPr>
        <w:t xml:space="preserve"> </w:t>
      </w:r>
      <w:r w:rsidR="0077290E" w:rsidRPr="0077290E">
        <w:rPr>
          <w:rFonts w:hint="cs"/>
          <w:rtl/>
          <w:lang w:bidi="ar-SA"/>
        </w:rPr>
        <w:t>بِضِيقَاتٍ</w:t>
      </w:r>
      <w:r w:rsidR="0077290E" w:rsidRPr="0077290E">
        <w:rPr>
          <w:rtl/>
          <w:lang w:bidi="ar-SA"/>
        </w:rPr>
        <w:t xml:space="preserve"> </w:t>
      </w:r>
      <w:r w:rsidR="0077290E" w:rsidRPr="0077290E">
        <w:rPr>
          <w:rFonts w:hint="cs"/>
          <w:rtl/>
          <w:lang w:bidi="ar-SA"/>
        </w:rPr>
        <w:t>كَثِيرَةٍ</w:t>
      </w:r>
      <w:r w:rsidR="0077290E" w:rsidRPr="0077290E">
        <w:rPr>
          <w:rtl/>
          <w:lang w:bidi="ar-SA"/>
        </w:rPr>
        <w:t xml:space="preserve"> </w:t>
      </w:r>
      <w:r w:rsidR="0077290E" w:rsidRPr="0077290E">
        <w:rPr>
          <w:rFonts w:hint="cs"/>
          <w:rtl/>
          <w:lang w:bidi="ar-SA"/>
        </w:rPr>
        <w:t>يَنْبَغِي</w:t>
      </w:r>
      <w:r w:rsidR="0077290E" w:rsidRPr="0077290E">
        <w:rPr>
          <w:rtl/>
          <w:lang w:bidi="ar-SA"/>
        </w:rPr>
        <w:t xml:space="preserve"> </w:t>
      </w:r>
      <w:r w:rsidR="0077290E" w:rsidRPr="0077290E">
        <w:rPr>
          <w:rFonts w:hint="cs"/>
          <w:rtl/>
          <w:lang w:bidi="ar-SA"/>
        </w:rPr>
        <w:t>أَنْ</w:t>
      </w:r>
      <w:r w:rsidR="0077290E" w:rsidRPr="0077290E">
        <w:rPr>
          <w:rtl/>
          <w:lang w:bidi="ar-SA"/>
        </w:rPr>
        <w:t xml:space="preserve"> </w:t>
      </w:r>
      <w:r w:rsidR="0077290E" w:rsidRPr="0077290E">
        <w:rPr>
          <w:rFonts w:hint="cs"/>
          <w:rtl/>
          <w:lang w:bidi="ar-SA"/>
        </w:rPr>
        <w:t>نَدْخُلَ</w:t>
      </w:r>
      <w:r w:rsidR="0077290E" w:rsidRPr="0077290E">
        <w:rPr>
          <w:rtl/>
          <w:lang w:bidi="ar-SA"/>
        </w:rPr>
        <w:t xml:space="preserve"> </w:t>
      </w:r>
      <w:r w:rsidR="0077290E" w:rsidRPr="0077290E">
        <w:rPr>
          <w:rFonts w:hint="cs"/>
          <w:rtl/>
          <w:lang w:bidi="ar-SA"/>
        </w:rPr>
        <w:t>مَلَكُوتَ</w:t>
      </w:r>
      <w:r w:rsidR="0077290E" w:rsidRPr="0077290E">
        <w:rPr>
          <w:rtl/>
          <w:lang w:bidi="ar-SA"/>
        </w:rPr>
        <w:t xml:space="preserve"> </w:t>
      </w:r>
      <w:r w:rsidR="0077290E" w:rsidRPr="0077290E">
        <w:rPr>
          <w:rFonts w:hint="cs"/>
          <w:rtl/>
          <w:lang w:bidi="ar-SA"/>
        </w:rPr>
        <w:t>اللهِ</w:t>
      </w:r>
      <w:r w:rsidR="0077290E" w:rsidRPr="0077290E">
        <w:rPr>
          <w:rtl/>
          <w:lang w:bidi="ar-SA"/>
        </w:rPr>
        <w:t>.</w:t>
      </w:r>
      <w:r w:rsidR="0077290E">
        <w:rPr>
          <w:rFonts w:hint="cs"/>
          <w:rtl/>
          <w:lang w:bidi="ar-SA"/>
        </w:rPr>
        <w:t>" (أعمال الرسل 14: 22).</w:t>
      </w:r>
    </w:p>
    <w:p w14:paraId="7AF44571" w14:textId="2AD8EFB2" w:rsidR="0077290E" w:rsidRDefault="0077290E" w:rsidP="003D0A50">
      <w:pPr>
        <w:rPr>
          <w:rtl/>
          <w:lang w:bidi="ar-SA"/>
        </w:rPr>
      </w:pPr>
      <w:r>
        <w:rPr>
          <w:rFonts w:hint="cs"/>
          <w:rtl/>
          <w:lang w:bidi="ar-SA"/>
        </w:rPr>
        <w:t xml:space="preserve">ما بين هاتين الزيارتين لبولس للسترا ورحلته التبشيرية الثانية كانت فترة تراوحت تقريبًا أربع سنوات. قبل الرحلة الأولى من المؤكد أن تيموثاوس وعائلته لم يكونوا قد تعرفوا على الإنجيل. في الرحلة التبشيرية الثانية لبولس كان تيموثاوس قد صار تلميذًا بشهادة حسنة. والاضطهادات التي كان تيموثاوس شاهدًا عليها كان قد تركت أثرًا عميقًا فيه، </w:t>
      </w:r>
      <w:r w:rsidR="00940CC1">
        <w:rPr>
          <w:rFonts w:hint="cs"/>
          <w:rtl/>
          <w:lang w:bidi="ar-SA"/>
        </w:rPr>
        <w:t>بالضبط كالإنذار "</w:t>
      </w:r>
      <w:r w:rsidR="00940CC1" w:rsidRPr="00940CC1">
        <w:rPr>
          <w:rtl/>
          <w:lang w:bidi="ar-SA"/>
        </w:rPr>
        <w:t>يَثْبُتُوا فِي الإِيمَانِ</w:t>
      </w:r>
      <w:r w:rsidR="00940CC1">
        <w:rPr>
          <w:rFonts w:hint="cs"/>
          <w:rtl/>
          <w:lang w:bidi="ar-SA"/>
        </w:rPr>
        <w:t>" (عدد 22). فالصبر أمام الاضطهادات ثبتت العلامة السائدة في مثال الرسول وتعاليمه في تلميذه الحبيب.</w:t>
      </w:r>
    </w:p>
    <w:p w14:paraId="7409BCD3" w14:textId="7BD6599B" w:rsidR="00940CC1" w:rsidRDefault="00940CC1" w:rsidP="003D0A50">
      <w:pPr>
        <w:rPr>
          <w:rtl/>
          <w:lang w:bidi="ar-SA"/>
        </w:rPr>
      </w:pPr>
      <w:r>
        <w:rPr>
          <w:rFonts w:hint="cs"/>
          <w:rtl/>
          <w:lang w:bidi="ar-SA"/>
        </w:rPr>
        <w:t>فلكي يبقى أمينًا يتطلب المرء قوة من الله كرد على الصلاة: "</w:t>
      </w:r>
      <w:r w:rsidRPr="00940CC1">
        <w:rPr>
          <w:rtl/>
          <w:lang w:bidi="ar-SA"/>
        </w:rPr>
        <w:t>صَلَّيَا بِأَصْوَامٍ وَاسْتَوْدَعَاهُمْ لِلرَّبِّ الَّذِي كَانُوا قَدْ آمَنُوا بِهِ.</w:t>
      </w:r>
      <w:r>
        <w:rPr>
          <w:rFonts w:hint="cs"/>
          <w:rtl/>
          <w:lang w:bidi="ar-SA"/>
        </w:rPr>
        <w:t>" (أعمال الرسل 14: 23).</w:t>
      </w:r>
    </w:p>
    <w:p w14:paraId="2F09EEC0" w14:textId="2EC9DE96" w:rsidR="00940CC1" w:rsidRDefault="00940CC1" w:rsidP="00940CC1">
      <w:pPr>
        <w:ind w:firstLine="827"/>
        <w:rPr>
          <w:rtl/>
          <w:lang w:bidi="ar-SA"/>
        </w:rPr>
      </w:pPr>
      <w:r>
        <w:rPr>
          <w:rFonts w:hint="cs"/>
          <w:rtl/>
          <w:lang w:bidi="ar-SA"/>
        </w:rPr>
        <w:t>ج) الدعوة للخدمة</w:t>
      </w:r>
    </w:p>
    <w:p w14:paraId="18AA9025" w14:textId="65DA93E2" w:rsidR="00940CC1" w:rsidRDefault="00940CC1" w:rsidP="00940CC1">
      <w:pPr>
        <w:ind w:firstLine="827"/>
        <w:rPr>
          <w:rtl/>
          <w:lang w:bidi="ar-SA"/>
        </w:rPr>
      </w:pPr>
      <w:r>
        <w:rPr>
          <w:rFonts w:hint="cs"/>
          <w:rtl/>
          <w:lang w:bidi="ar-SA"/>
        </w:rPr>
        <w:t>من أعمال الرسل 16: 3 يمكننا أن نستدل بأن تيموثاوس كان قد ابتدأ خدمته الفعلية في فرصة رحلة بولس التبشيرية الثانية، التي كان قد أُعدّ لها.</w:t>
      </w:r>
    </w:p>
    <w:p w14:paraId="6FD6934E" w14:textId="107B57EC" w:rsidR="00940CC1" w:rsidRDefault="00940CC1" w:rsidP="00940CC1">
      <w:pPr>
        <w:ind w:firstLine="827"/>
        <w:rPr>
          <w:rtl/>
          <w:lang w:bidi="ar-SA"/>
        </w:rPr>
      </w:pPr>
      <w:r>
        <w:rPr>
          <w:rFonts w:hint="cs"/>
          <w:rtl/>
          <w:lang w:bidi="ar-SA"/>
        </w:rPr>
        <w:t>هو كان "تلميذًا" فرحًا "بشهادة الإخوة الحسنة" من كنيسته المحلية وكل المنطقة (عدد 2). فمن جهة موهبته التي منحها له الله، كانت هنالك "نبوات" نكلمت عنها (قارن 1. تيموثاوس 1: 18؛ 4: 14). وتيموثاوس كانت له هذه الموهبة.</w:t>
      </w:r>
      <w:r w:rsidR="00EA20BE">
        <w:rPr>
          <w:rFonts w:hint="cs"/>
          <w:rtl/>
          <w:lang w:bidi="ar-SA"/>
        </w:rPr>
        <w:t xml:space="preserve"> وبصريح العبارة كان قد حصل على موهبة الراعي والمعلم. وشيوخ منطقته كانوا مقتنعين ومنحوه شركتهم بوضع الأيدي بشكل واضح (1. تيموثاوس 4: 14). بولس ذكّر تيموثاوس بأنه هو كذلك وُضعت عليه الأيدي لأجل هذا الغرض (2. تيموثاوس 1: 6). لقد كان مرتبطًا برفيق دربه الشاب بالقلب.</w:t>
      </w:r>
    </w:p>
    <w:p w14:paraId="05D0348E" w14:textId="4FFFF8F1" w:rsidR="00EA20BE" w:rsidRDefault="00EA20BE" w:rsidP="00940CC1">
      <w:pPr>
        <w:ind w:firstLine="827"/>
        <w:rPr>
          <w:rtl/>
          <w:lang w:bidi="ar-SA"/>
        </w:rPr>
      </w:pPr>
      <w:r>
        <w:rPr>
          <w:rFonts w:hint="cs"/>
          <w:rtl/>
          <w:lang w:bidi="ar-SA"/>
        </w:rPr>
        <w:t xml:space="preserve">وهذه هي القاعدة لكل خدمة: أولاً الولادة الجديدة، أي قَبول الحياة الإلهية بالإيمان، ومن ثم إظهار الصورة الروحية للحياة بالإقبال على الكتب. كما والشهادة العملية عن السلوك في الحياة التي يشهد بها أشخاص آخرون هي جزء لا يتجزأ منه، بأن تصادق على موهبة الله عن طريق الشركة التي يمارسها الأخوة بتمييز روحي بالنظر إلى هذه </w:t>
      </w:r>
      <w:r w:rsidRPr="00DF5E18">
        <w:rPr>
          <w:rFonts w:hint="cs"/>
          <w:rtl/>
          <w:lang w:bidi="ar-SA"/>
        </w:rPr>
        <w:t>العطية</w:t>
      </w:r>
      <w:r>
        <w:rPr>
          <w:rFonts w:hint="cs"/>
          <w:rtl/>
          <w:lang w:bidi="ar-SA"/>
        </w:rPr>
        <w:t>.</w:t>
      </w:r>
    </w:p>
    <w:p w14:paraId="129B8143" w14:textId="50C05BBC" w:rsidR="00DF5E18" w:rsidRDefault="00DF5E18" w:rsidP="00940CC1">
      <w:pPr>
        <w:ind w:firstLine="827"/>
        <w:rPr>
          <w:rtl/>
          <w:lang w:bidi="ar-SA"/>
        </w:rPr>
      </w:pPr>
      <w:r>
        <w:rPr>
          <w:rFonts w:hint="cs"/>
          <w:rtl/>
          <w:lang w:bidi="ar-SA"/>
        </w:rPr>
        <w:t>وهو متشدد بكل هذه الأحداث السابقة "أراد بولس" بأن يذهب تيموثاوس معه! وبلا شك أن تيموثاوس كانت له قدرة تمييز روحية واضحة، لم تكن إلا لدى القليل من الناس. ومع ذلك فإن استمرارية تشجيع الإخوة الشيوخ للأحدث منهم في بداية خدمتهم للرب كثيرًا ما كان له دور في تقدمهم في الطريق المسيحي. "</w:t>
      </w:r>
      <w:r w:rsidRPr="00DF5E18">
        <w:rPr>
          <w:rtl/>
          <w:lang w:bidi="ar-SA"/>
        </w:rPr>
        <w:t xml:space="preserve"> </w:t>
      </w:r>
      <w:r w:rsidRPr="00DF5E18">
        <w:rPr>
          <w:rFonts w:ascii="Tahoma" w:hAnsi="Tahoma" w:cs="Tahoma" w:hint="cs"/>
          <w:rtl/>
          <w:lang w:bidi="ar-SA"/>
        </w:rPr>
        <w:t>﻿</w:t>
      </w:r>
      <w:r w:rsidRPr="00DF5E18">
        <w:rPr>
          <w:rFonts w:hint="cs"/>
          <w:rtl/>
          <w:lang w:bidi="ar-SA"/>
        </w:rPr>
        <w:t>لاَ</w:t>
      </w:r>
      <w:r w:rsidRPr="00DF5E18">
        <w:rPr>
          <w:rtl/>
          <w:lang w:bidi="ar-SA"/>
        </w:rPr>
        <w:t xml:space="preserve"> </w:t>
      </w:r>
      <w:r w:rsidRPr="00DF5E18">
        <w:rPr>
          <w:rFonts w:hint="cs"/>
          <w:rtl/>
          <w:lang w:bidi="ar-SA"/>
        </w:rPr>
        <w:t>تَضَعْ</w:t>
      </w:r>
      <w:r w:rsidRPr="00DF5E18">
        <w:rPr>
          <w:rtl/>
          <w:lang w:bidi="ar-SA"/>
        </w:rPr>
        <w:t xml:space="preserve"> </w:t>
      </w:r>
      <w:r w:rsidRPr="00DF5E18">
        <w:rPr>
          <w:rFonts w:hint="cs"/>
          <w:rtl/>
          <w:lang w:bidi="ar-SA"/>
        </w:rPr>
        <w:t>يَدًا</w:t>
      </w:r>
      <w:r w:rsidRPr="00DF5E18">
        <w:rPr>
          <w:rtl/>
          <w:lang w:bidi="ar-SA"/>
        </w:rPr>
        <w:t xml:space="preserve"> </w:t>
      </w:r>
      <w:r w:rsidRPr="00DF5E18">
        <w:rPr>
          <w:rFonts w:hint="cs"/>
          <w:rtl/>
          <w:lang w:bidi="ar-SA"/>
        </w:rPr>
        <w:t>عَلَى</w:t>
      </w:r>
      <w:r w:rsidRPr="00DF5E18">
        <w:rPr>
          <w:rtl/>
          <w:lang w:bidi="ar-SA"/>
        </w:rPr>
        <w:t xml:space="preserve"> </w:t>
      </w:r>
      <w:r w:rsidRPr="00DF5E18">
        <w:rPr>
          <w:rFonts w:hint="cs"/>
          <w:rtl/>
          <w:lang w:bidi="ar-SA"/>
        </w:rPr>
        <w:t>أَحَدٍ</w:t>
      </w:r>
      <w:r w:rsidRPr="00DF5E18">
        <w:rPr>
          <w:rtl/>
          <w:lang w:bidi="ar-SA"/>
        </w:rPr>
        <w:t xml:space="preserve"> </w:t>
      </w:r>
      <w:r w:rsidRPr="00DF5E18">
        <w:rPr>
          <w:rFonts w:hint="cs"/>
          <w:rtl/>
          <w:lang w:bidi="ar-SA"/>
        </w:rPr>
        <w:t>بِالْعَجَلَةِ،</w:t>
      </w:r>
      <w:r>
        <w:rPr>
          <w:rFonts w:hint="cs"/>
          <w:rtl/>
          <w:lang w:bidi="ar-SA"/>
        </w:rPr>
        <w:t>" هذا ماكتبه بولس لاحقًا لتيموثاوس (1. تيموثاوس 5: 22). لكن متى ما أثمرت حياة الله متطابقة مع الشهادة العملية فيما قد استلمه المؤمن، والرب وضّح بأن يريد بأن يستخدم أخًا أكثر حداثة في خدمته، أفليس</w:t>
      </w:r>
      <w:r w:rsidR="00462CBD">
        <w:rPr>
          <w:rFonts w:hint="cs"/>
          <w:rtl/>
          <w:lang w:bidi="ar-SA"/>
        </w:rPr>
        <w:t xml:space="preserve"> في مثال الرسول بولس أيضًا النقطة في محلها بأنه بحكمة شجّع ودعم كهذا الشخص وكان له عونًا في ذلك؟</w:t>
      </w:r>
    </w:p>
    <w:p w14:paraId="5F8F4BD3" w14:textId="66F2531D" w:rsidR="00462CBD" w:rsidRDefault="00462CBD" w:rsidP="00940CC1">
      <w:pPr>
        <w:ind w:firstLine="827"/>
        <w:rPr>
          <w:lang w:bidi="ar-SA"/>
        </w:rPr>
      </w:pPr>
      <w:r>
        <w:rPr>
          <w:rFonts w:hint="cs"/>
          <w:rtl/>
          <w:lang w:bidi="ar-SA"/>
        </w:rPr>
        <w:t xml:space="preserve">والآن بولس صاحب تيموثاوس في استكمال الرحلة. وقد لاحَ الأمر وكأنه أراد بأن </w:t>
      </w:r>
      <w:r w:rsidR="001453D6">
        <w:rPr>
          <w:rFonts w:hint="cs"/>
          <w:rtl/>
          <w:lang w:bidi="ar-SA"/>
        </w:rPr>
        <w:t>يختطف</w:t>
      </w:r>
      <w:r>
        <w:rPr>
          <w:rFonts w:hint="cs"/>
          <w:rtl/>
          <w:lang w:bidi="ar-SA"/>
        </w:rPr>
        <w:t xml:space="preserve"> الشاب. ربما كان هناك بعض التردد داخل العائلة: فحتى الأم التقية لا تنفصل بسهولة عن ولدها، وبالأخص عندما يصادف في طريقه بعيدًا عنها ظروفًا صعبة. وهل ربما خشي تيموثاوس بذاته طريقًا سيعاني فيه الألم والمقاومة، المخاطر والتجارب؟ فمهما كانت الظروف ومهما ستكون </w:t>
      </w:r>
      <w:r>
        <w:rPr>
          <w:rtl/>
          <w:lang w:bidi="ar-SA"/>
        </w:rPr>
        <w:t>–</w:t>
      </w:r>
      <w:r>
        <w:rPr>
          <w:rFonts w:hint="cs"/>
          <w:rtl/>
          <w:lang w:bidi="ar-SA"/>
        </w:rPr>
        <w:t xml:space="preserve"> فإن قرار بولس أدّى بأن تيموثاوس </w:t>
      </w:r>
      <w:hyperlink r:id="rId10" w:anchor=":~:text=Vor%20der%20Abreise%20%E2%80%9Ebeschnitt%20ihn%E2%80%9C%20Paulus%20aber%20noch." w:history="1">
        <w:r w:rsidRPr="002A12F9">
          <w:rPr>
            <w:rStyle w:val="Hyperlink"/>
            <w:rFonts w:hint="cs"/>
            <w:rtl/>
            <w:lang w:bidi="ar-SA"/>
          </w:rPr>
          <w:t>رافقه</w:t>
        </w:r>
      </w:hyperlink>
      <w:r>
        <w:rPr>
          <w:rFonts w:hint="cs"/>
          <w:rtl/>
          <w:lang w:bidi="ar-SA"/>
        </w:rPr>
        <w:t>.</w:t>
      </w:r>
    </w:p>
    <w:sectPr w:rsidR="00462CBD">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4B9AC7" w14:textId="77777777" w:rsidR="00571FF3" w:rsidRDefault="00571FF3" w:rsidP="00181A5E">
      <w:pPr>
        <w:spacing w:after="0" w:line="240" w:lineRule="auto"/>
      </w:pPr>
      <w:r>
        <w:separator/>
      </w:r>
    </w:p>
  </w:endnote>
  <w:endnote w:type="continuationSeparator" w:id="0">
    <w:p w14:paraId="0FC0D4AF" w14:textId="77777777" w:rsidR="00571FF3" w:rsidRDefault="00571FF3" w:rsidP="00181A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akkal Majalla">
    <w:panose1 w:val="02000000000000000000"/>
    <w:charset w:val="00"/>
    <w:family w:val="auto"/>
    <w:pitch w:val="variable"/>
    <w:sig w:usb0="A0002027" w:usb1="80000000" w:usb2="00000108" w:usb3="00000000" w:csb0="000000D3"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36F5AF4" w14:textId="77777777" w:rsidR="00571FF3" w:rsidRDefault="00571FF3" w:rsidP="00181A5E">
      <w:pPr>
        <w:spacing w:after="0" w:line="240" w:lineRule="auto"/>
      </w:pPr>
      <w:r>
        <w:separator/>
      </w:r>
    </w:p>
  </w:footnote>
  <w:footnote w:type="continuationSeparator" w:id="0">
    <w:p w14:paraId="42D34825" w14:textId="77777777" w:rsidR="00571FF3" w:rsidRDefault="00571FF3" w:rsidP="00181A5E">
      <w:pPr>
        <w:spacing w:after="0" w:line="240" w:lineRule="auto"/>
      </w:pPr>
      <w:r>
        <w:continuationSeparator/>
      </w:r>
    </w:p>
  </w:footnote>
  <w:footnote w:id="1">
    <w:p w14:paraId="035FF1B0" w14:textId="0E0603D5" w:rsidR="00181A5E" w:rsidRDefault="00181A5E">
      <w:pPr>
        <w:pStyle w:val="FootnoteText"/>
      </w:pPr>
      <w:r>
        <w:rPr>
          <w:rStyle w:val="FootnoteReference"/>
        </w:rPr>
        <w:footnoteRef/>
      </w:r>
      <w:r>
        <w:rPr>
          <w:rtl/>
        </w:rP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F286B69"/>
    <w:multiLevelType w:val="hybridMultilevel"/>
    <w:tmpl w:val="95FA0D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A591B2C"/>
    <w:multiLevelType w:val="hybridMultilevel"/>
    <w:tmpl w:val="C20CC9E0"/>
    <w:lvl w:ilvl="0" w:tplc="8A24FDD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646395678">
    <w:abstractNumId w:val="0"/>
  </w:num>
  <w:num w:numId="2" w16cid:durableId="125273420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12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1808"/>
    <w:rsid w:val="000172A8"/>
    <w:rsid w:val="001453D6"/>
    <w:rsid w:val="00181A5E"/>
    <w:rsid w:val="00222BF8"/>
    <w:rsid w:val="00267E73"/>
    <w:rsid w:val="00271746"/>
    <w:rsid w:val="002A12F9"/>
    <w:rsid w:val="003D0A50"/>
    <w:rsid w:val="00462CBD"/>
    <w:rsid w:val="0048100D"/>
    <w:rsid w:val="004D0E03"/>
    <w:rsid w:val="00571FF3"/>
    <w:rsid w:val="005C030F"/>
    <w:rsid w:val="005E7AE7"/>
    <w:rsid w:val="00625121"/>
    <w:rsid w:val="00657BCF"/>
    <w:rsid w:val="00762970"/>
    <w:rsid w:val="00772566"/>
    <w:rsid w:val="0077290E"/>
    <w:rsid w:val="007A4AE8"/>
    <w:rsid w:val="007E1946"/>
    <w:rsid w:val="008174D3"/>
    <w:rsid w:val="008E0EC1"/>
    <w:rsid w:val="00940CC1"/>
    <w:rsid w:val="00AC4A91"/>
    <w:rsid w:val="00AF6FE2"/>
    <w:rsid w:val="00C51808"/>
    <w:rsid w:val="00C719E2"/>
    <w:rsid w:val="00C941E0"/>
    <w:rsid w:val="00C95487"/>
    <w:rsid w:val="00D33A1B"/>
    <w:rsid w:val="00DF5E18"/>
    <w:rsid w:val="00EA20BE"/>
    <w:rsid w:val="00EC5C84"/>
    <w:rsid w:val="00FF3E0C"/>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3C07F4"/>
  <w15:chartTrackingRefBased/>
  <w15:docId w15:val="{706D3392-9877-4C0D-840A-C2B21AE7F1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Sakkal Majalla" w:eastAsiaTheme="minorHAnsi" w:hAnsi="Sakkal Majalla" w:cs="Sakkal Majalla"/>
        <w:kern w:val="2"/>
        <w:sz w:val="28"/>
        <w:szCs w:val="28"/>
        <w:lang w:val="en-US" w:eastAsia="en-US" w:bidi="he-IL"/>
        <w14:ligatures w14:val="standardContextual"/>
      </w:rPr>
    </w:rPrDefault>
    <w:pPrDefault>
      <w:pPr>
        <w:bidi/>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lang w:bidi="ar-EG"/>
    </w:rPr>
  </w:style>
  <w:style w:type="paragraph" w:styleId="Heading1">
    <w:name w:val="heading 1"/>
    <w:basedOn w:val="Normal"/>
    <w:next w:val="Normal"/>
    <w:link w:val="Heading1Char"/>
    <w:uiPriority w:val="9"/>
    <w:qFormat/>
    <w:rsid w:val="00C5180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5180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51808"/>
    <w:pPr>
      <w:keepNext/>
      <w:keepLines/>
      <w:spacing w:before="160" w:after="80"/>
      <w:outlineLvl w:val="2"/>
    </w:pPr>
    <w:rPr>
      <w:rFonts w:asciiTheme="minorHAnsi" w:eastAsiaTheme="majorEastAsia" w:hAnsiTheme="minorHAnsi" w:cstheme="majorBidi"/>
      <w:color w:val="2F5496" w:themeColor="accent1" w:themeShade="BF"/>
    </w:rPr>
  </w:style>
  <w:style w:type="paragraph" w:styleId="Heading4">
    <w:name w:val="heading 4"/>
    <w:basedOn w:val="Normal"/>
    <w:next w:val="Normal"/>
    <w:link w:val="Heading4Char"/>
    <w:uiPriority w:val="9"/>
    <w:semiHidden/>
    <w:unhideWhenUsed/>
    <w:qFormat/>
    <w:rsid w:val="00C51808"/>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C51808"/>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C51808"/>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C51808"/>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C51808"/>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C51808"/>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basedOn w:val="DefaultParagraphFont"/>
    <w:uiPriority w:val="99"/>
    <w:semiHidden/>
    <w:unhideWhenUsed/>
    <w:qFormat/>
    <w:rsid w:val="00EC5C84"/>
    <w:rPr>
      <w:rFonts w:ascii="Sakkal Majalla" w:hAnsi="Sakkal Majalla"/>
      <w:b/>
      <w:sz w:val="26"/>
      <w:vertAlign w:val="superscript"/>
    </w:rPr>
  </w:style>
  <w:style w:type="character" w:customStyle="1" w:styleId="Heading1Char">
    <w:name w:val="Heading 1 Char"/>
    <w:basedOn w:val="DefaultParagraphFont"/>
    <w:link w:val="Heading1"/>
    <w:uiPriority w:val="9"/>
    <w:rsid w:val="00C51808"/>
    <w:rPr>
      <w:rFonts w:asciiTheme="majorHAnsi" w:eastAsiaTheme="majorEastAsia" w:hAnsiTheme="majorHAnsi" w:cstheme="majorBidi"/>
      <w:noProof/>
      <w:color w:val="2F5496" w:themeColor="accent1" w:themeShade="BF"/>
      <w:sz w:val="40"/>
      <w:szCs w:val="40"/>
      <w:lang w:bidi="ar-EG"/>
    </w:rPr>
  </w:style>
  <w:style w:type="character" w:customStyle="1" w:styleId="Heading2Char">
    <w:name w:val="Heading 2 Char"/>
    <w:basedOn w:val="DefaultParagraphFont"/>
    <w:link w:val="Heading2"/>
    <w:uiPriority w:val="9"/>
    <w:semiHidden/>
    <w:rsid w:val="00C51808"/>
    <w:rPr>
      <w:rFonts w:asciiTheme="majorHAnsi" w:eastAsiaTheme="majorEastAsia" w:hAnsiTheme="majorHAnsi" w:cstheme="majorBidi"/>
      <w:noProof/>
      <w:color w:val="2F5496" w:themeColor="accent1" w:themeShade="BF"/>
      <w:sz w:val="32"/>
      <w:szCs w:val="32"/>
      <w:lang w:bidi="ar-EG"/>
    </w:rPr>
  </w:style>
  <w:style w:type="character" w:customStyle="1" w:styleId="Heading3Char">
    <w:name w:val="Heading 3 Char"/>
    <w:basedOn w:val="DefaultParagraphFont"/>
    <w:link w:val="Heading3"/>
    <w:uiPriority w:val="9"/>
    <w:semiHidden/>
    <w:rsid w:val="00C51808"/>
    <w:rPr>
      <w:rFonts w:asciiTheme="minorHAnsi" w:eastAsiaTheme="majorEastAsia" w:hAnsiTheme="minorHAnsi" w:cstheme="majorBidi"/>
      <w:noProof/>
      <w:color w:val="2F5496" w:themeColor="accent1" w:themeShade="BF"/>
      <w:lang w:bidi="ar-EG"/>
    </w:rPr>
  </w:style>
  <w:style w:type="character" w:customStyle="1" w:styleId="Heading4Char">
    <w:name w:val="Heading 4 Char"/>
    <w:basedOn w:val="DefaultParagraphFont"/>
    <w:link w:val="Heading4"/>
    <w:uiPriority w:val="9"/>
    <w:semiHidden/>
    <w:rsid w:val="00C51808"/>
    <w:rPr>
      <w:rFonts w:asciiTheme="minorHAnsi" w:eastAsiaTheme="majorEastAsia" w:hAnsiTheme="minorHAnsi" w:cstheme="majorBidi"/>
      <w:i/>
      <w:iCs/>
      <w:noProof/>
      <w:color w:val="2F5496" w:themeColor="accent1" w:themeShade="BF"/>
      <w:lang w:bidi="ar-EG"/>
    </w:rPr>
  </w:style>
  <w:style w:type="character" w:customStyle="1" w:styleId="Heading5Char">
    <w:name w:val="Heading 5 Char"/>
    <w:basedOn w:val="DefaultParagraphFont"/>
    <w:link w:val="Heading5"/>
    <w:uiPriority w:val="9"/>
    <w:semiHidden/>
    <w:rsid w:val="00C51808"/>
    <w:rPr>
      <w:rFonts w:asciiTheme="minorHAnsi" w:eastAsiaTheme="majorEastAsia" w:hAnsiTheme="minorHAnsi" w:cstheme="majorBidi"/>
      <w:noProof/>
      <w:color w:val="2F5496" w:themeColor="accent1" w:themeShade="BF"/>
      <w:lang w:bidi="ar-EG"/>
    </w:rPr>
  </w:style>
  <w:style w:type="character" w:customStyle="1" w:styleId="Heading6Char">
    <w:name w:val="Heading 6 Char"/>
    <w:basedOn w:val="DefaultParagraphFont"/>
    <w:link w:val="Heading6"/>
    <w:uiPriority w:val="9"/>
    <w:semiHidden/>
    <w:rsid w:val="00C51808"/>
    <w:rPr>
      <w:rFonts w:asciiTheme="minorHAnsi" w:eastAsiaTheme="majorEastAsia" w:hAnsiTheme="minorHAnsi" w:cstheme="majorBidi"/>
      <w:i/>
      <w:iCs/>
      <w:noProof/>
      <w:color w:val="595959" w:themeColor="text1" w:themeTint="A6"/>
      <w:lang w:bidi="ar-EG"/>
    </w:rPr>
  </w:style>
  <w:style w:type="character" w:customStyle="1" w:styleId="Heading7Char">
    <w:name w:val="Heading 7 Char"/>
    <w:basedOn w:val="DefaultParagraphFont"/>
    <w:link w:val="Heading7"/>
    <w:uiPriority w:val="9"/>
    <w:semiHidden/>
    <w:rsid w:val="00C51808"/>
    <w:rPr>
      <w:rFonts w:asciiTheme="minorHAnsi" w:eastAsiaTheme="majorEastAsia" w:hAnsiTheme="minorHAnsi" w:cstheme="majorBidi"/>
      <w:noProof/>
      <w:color w:val="595959" w:themeColor="text1" w:themeTint="A6"/>
      <w:lang w:bidi="ar-EG"/>
    </w:rPr>
  </w:style>
  <w:style w:type="character" w:customStyle="1" w:styleId="Heading8Char">
    <w:name w:val="Heading 8 Char"/>
    <w:basedOn w:val="DefaultParagraphFont"/>
    <w:link w:val="Heading8"/>
    <w:uiPriority w:val="9"/>
    <w:semiHidden/>
    <w:rsid w:val="00C51808"/>
    <w:rPr>
      <w:rFonts w:asciiTheme="minorHAnsi" w:eastAsiaTheme="majorEastAsia" w:hAnsiTheme="minorHAnsi" w:cstheme="majorBidi"/>
      <w:i/>
      <w:iCs/>
      <w:noProof/>
      <w:color w:val="272727" w:themeColor="text1" w:themeTint="D8"/>
      <w:lang w:bidi="ar-EG"/>
    </w:rPr>
  </w:style>
  <w:style w:type="character" w:customStyle="1" w:styleId="Heading9Char">
    <w:name w:val="Heading 9 Char"/>
    <w:basedOn w:val="DefaultParagraphFont"/>
    <w:link w:val="Heading9"/>
    <w:uiPriority w:val="9"/>
    <w:semiHidden/>
    <w:rsid w:val="00C51808"/>
    <w:rPr>
      <w:rFonts w:asciiTheme="minorHAnsi" w:eastAsiaTheme="majorEastAsia" w:hAnsiTheme="minorHAnsi" w:cstheme="majorBidi"/>
      <w:noProof/>
      <w:color w:val="272727" w:themeColor="text1" w:themeTint="D8"/>
      <w:lang w:bidi="ar-EG"/>
    </w:rPr>
  </w:style>
  <w:style w:type="paragraph" w:styleId="Title">
    <w:name w:val="Title"/>
    <w:basedOn w:val="Normal"/>
    <w:next w:val="Normal"/>
    <w:link w:val="TitleChar"/>
    <w:uiPriority w:val="10"/>
    <w:qFormat/>
    <w:rsid w:val="00C5180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51808"/>
    <w:rPr>
      <w:rFonts w:asciiTheme="majorHAnsi" w:eastAsiaTheme="majorEastAsia" w:hAnsiTheme="majorHAnsi" w:cstheme="majorBidi"/>
      <w:noProof/>
      <w:spacing w:val="-10"/>
      <w:kern w:val="28"/>
      <w:sz w:val="56"/>
      <w:szCs w:val="56"/>
      <w:lang w:bidi="ar-EG"/>
    </w:rPr>
  </w:style>
  <w:style w:type="paragraph" w:styleId="Subtitle">
    <w:name w:val="Subtitle"/>
    <w:basedOn w:val="Normal"/>
    <w:next w:val="Normal"/>
    <w:link w:val="SubtitleChar"/>
    <w:uiPriority w:val="11"/>
    <w:qFormat/>
    <w:rsid w:val="00C51808"/>
    <w:pPr>
      <w:numPr>
        <w:ilvl w:val="1"/>
      </w:numPr>
    </w:pPr>
    <w:rPr>
      <w:rFonts w:asciiTheme="minorHAnsi" w:eastAsiaTheme="majorEastAsia" w:hAnsiTheme="minorHAnsi" w:cstheme="majorBidi"/>
      <w:color w:val="595959" w:themeColor="text1" w:themeTint="A6"/>
      <w:spacing w:val="15"/>
    </w:rPr>
  </w:style>
  <w:style w:type="character" w:customStyle="1" w:styleId="SubtitleChar">
    <w:name w:val="Subtitle Char"/>
    <w:basedOn w:val="DefaultParagraphFont"/>
    <w:link w:val="Subtitle"/>
    <w:uiPriority w:val="11"/>
    <w:rsid w:val="00C51808"/>
    <w:rPr>
      <w:rFonts w:asciiTheme="minorHAnsi" w:eastAsiaTheme="majorEastAsia" w:hAnsiTheme="minorHAnsi" w:cstheme="majorBidi"/>
      <w:noProof/>
      <w:color w:val="595959" w:themeColor="text1" w:themeTint="A6"/>
      <w:spacing w:val="15"/>
      <w:lang w:bidi="ar-EG"/>
    </w:rPr>
  </w:style>
  <w:style w:type="paragraph" w:styleId="Quote">
    <w:name w:val="Quote"/>
    <w:basedOn w:val="Normal"/>
    <w:next w:val="Normal"/>
    <w:link w:val="QuoteChar"/>
    <w:uiPriority w:val="29"/>
    <w:qFormat/>
    <w:rsid w:val="00C51808"/>
    <w:pPr>
      <w:spacing w:before="160"/>
      <w:jc w:val="center"/>
    </w:pPr>
    <w:rPr>
      <w:i/>
      <w:iCs/>
      <w:color w:val="404040" w:themeColor="text1" w:themeTint="BF"/>
    </w:rPr>
  </w:style>
  <w:style w:type="character" w:customStyle="1" w:styleId="QuoteChar">
    <w:name w:val="Quote Char"/>
    <w:basedOn w:val="DefaultParagraphFont"/>
    <w:link w:val="Quote"/>
    <w:uiPriority w:val="29"/>
    <w:rsid w:val="00C51808"/>
    <w:rPr>
      <w:i/>
      <w:iCs/>
      <w:noProof/>
      <w:color w:val="404040" w:themeColor="text1" w:themeTint="BF"/>
      <w:lang w:bidi="ar-EG"/>
    </w:rPr>
  </w:style>
  <w:style w:type="paragraph" w:styleId="ListParagraph">
    <w:name w:val="List Paragraph"/>
    <w:basedOn w:val="Normal"/>
    <w:uiPriority w:val="34"/>
    <w:qFormat/>
    <w:rsid w:val="00C51808"/>
    <w:pPr>
      <w:ind w:left="720"/>
      <w:contextualSpacing/>
    </w:pPr>
  </w:style>
  <w:style w:type="character" w:styleId="IntenseEmphasis">
    <w:name w:val="Intense Emphasis"/>
    <w:basedOn w:val="DefaultParagraphFont"/>
    <w:uiPriority w:val="21"/>
    <w:qFormat/>
    <w:rsid w:val="00C51808"/>
    <w:rPr>
      <w:i/>
      <w:iCs/>
      <w:color w:val="2F5496" w:themeColor="accent1" w:themeShade="BF"/>
    </w:rPr>
  </w:style>
  <w:style w:type="paragraph" w:styleId="IntenseQuote">
    <w:name w:val="Intense Quote"/>
    <w:basedOn w:val="Normal"/>
    <w:next w:val="Normal"/>
    <w:link w:val="IntenseQuoteChar"/>
    <w:uiPriority w:val="30"/>
    <w:qFormat/>
    <w:rsid w:val="00C5180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51808"/>
    <w:rPr>
      <w:i/>
      <w:iCs/>
      <w:noProof/>
      <w:color w:val="2F5496" w:themeColor="accent1" w:themeShade="BF"/>
      <w:lang w:bidi="ar-EG"/>
    </w:rPr>
  </w:style>
  <w:style w:type="character" w:styleId="IntenseReference">
    <w:name w:val="Intense Reference"/>
    <w:basedOn w:val="DefaultParagraphFont"/>
    <w:uiPriority w:val="32"/>
    <w:qFormat/>
    <w:rsid w:val="00C51808"/>
    <w:rPr>
      <w:b/>
      <w:bCs/>
      <w:smallCaps/>
      <w:color w:val="2F5496" w:themeColor="accent1" w:themeShade="BF"/>
      <w:spacing w:val="5"/>
    </w:rPr>
  </w:style>
  <w:style w:type="character" w:styleId="Hyperlink">
    <w:name w:val="Hyperlink"/>
    <w:basedOn w:val="DefaultParagraphFont"/>
    <w:uiPriority w:val="99"/>
    <w:unhideWhenUsed/>
    <w:rsid w:val="00C719E2"/>
    <w:rPr>
      <w:color w:val="0563C1" w:themeColor="hyperlink"/>
      <w:u w:val="single"/>
    </w:rPr>
  </w:style>
  <w:style w:type="character" w:styleId="UnresolvedMention">
    <w:name w:val="Unresolved Mention"/>
    <w:basedOn w:val="DefaultParagraphFont"/>
    <w:uiPriority w:val="99"/>
    <w:semiHidden/>
    <w:unhideWhenUsed/>
    <w:rsid w:val="00C719E2"/>
    <w:rPr>
      <w:color w:val="605E5C"/>
      <w:shd w:val="clear" w:color="auto" w:fill="E1DFDD"/>
    </w:rPr>
  </w:style>
  <w:style w:type="character" w:styleId="FollowedHyperlink">
    <w:name w:val="FollowedHyperlink"/>
    <w:basedOn w:val="DefaultParagraphFont"/>
    <w:uiPriority w:val="99"/>
    <w:semiHidden/>
    <w:unhideWhenUsed/>
    <w:rsid w:val="00181A5E"/>
    <w:rPr>
      <w:color w:val="954F72" w:themeColor="followedHyperlink"/>
      <w:u w:val="single"/>
    </w:rPr>
  </w:style>
  <w:style w:type="paragraph" w:styleId="FootnoteText">
    <w:name w:val="footnote text"/>
    <w:basedOn w:val="Normal"/>
    <w:link w:val="FootnoteTextChar"/>
    <w:uiPriority w:val="99"/>
    <w:semiHidden/>
    <w:unhideWhenUsed/>
    <w:rsid w:val="00181A5E"/>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81A5E"/>
    <w:rPr>
      <w:noProof/>
      <w:sz w:val="20"/>
      <w:szCs w:val="20"/>
      <w:lang w:bidi="ar-EG"/>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ibelkommentare.de/kommentare/399/timotheus-diener-jesu-christi"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www.bibelkommentare.de/kommentare/k-3058/timotheus-diener-jesu-christi/das-leben-des-timotheus" TargetMode="External"/><Relationship Id="rId4" Type="http://schemas.openxmlformats.org/officeDocument/2006/relationships/settings" Target="settings.xml"/><Relationship Id="rId9" Type="http://schemas.openxmlformats.org/officeDocument/2006/relationships/hyperlink" Target="https://www.bibelkommentare.de/kommentare/k-3058/timotheus-diener-jesu-christi/das-leben-des-timotheu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958FDF-C518-4234-9089-F57EDEC49A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1502</TotalTime>
  <Pages>1</Pages>
  <Words>1285</Words>
  <Characters>7331</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 sharara</dc:creator>
  <cp:keywords/>
  <dc:description/>
  <cp:lastModifiedBy>ali sharara</cp:lastModifiedBy>
  <cp:revision>11</cp:revision>
  <dcterms:created xsi:type="dcterms:W3CDTF">2026-04-28T11:18:00Z</dcterms:created>
  <dcterms:modified xsi:type="dcterms:W3CDTF">2026-06-22T06:06:00Z</dcterms:modified>
</cp:coreProperties>
</file>