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E0B9F" w14:textId="3D8005DD" w:rsidR="00FD3BB5" w:rsidRDefault="00932AF1" w:rsidP="00691E08">
      <w:pPr>
        <w:jc w:val="both"/>
        <w:rPr>
          <w:rtl/>
          <w:lang w:bidi="ar-AE"/>
        </w:rPr>
      </w:pPr>
      <w:hyperlink r:id="rId4" w:anchor=":~:text=den%20Tod%20des%20Hohenpriesters%29.%20Die%20meisten,nicht%20retten%20lassen%20von%20dem%20verkehrten" w:history="1">
        <w:r w:rsidR="00691E08" w:rsidRPr="00932AF1">
          <w:rPr>
            <w:rStyle w:val="Hyperlink"/>
            <w:rFonts w:hint="cs"/>
            <w:rtl/>
            <w:lang w:bidi="ar-AE"/>
          </w:rPr>
          <w:t>عبرانيون في مدينة الملجأ</w:t>
        </w:r>
      </w:hyperlink>
    </w:p>
    <w:p w14:paraId="0380D24B" w14:textId="736DC90C" w:rsidR="00691E08" w:rsidRDefault="00691E08" w:rsidP="00691E08">
      <w:pPr>
        <w:jc w:val="both"/>
        <w:rPr>
          <w:rtl/>
          <w:lang w:bidi="ar-AE"/>
        </w:rPr>
      </w:pPr>
      <w:r w:rsidRPr="00691E08">
        <w:rPr>
          <w:lang w:bidi="ar-AE"/>
        </w:rPr>
        <w:t>Gerrid Setzer</w:t>
      </w:r>
    </w:p>
    <w:p w14:paraId="55C6C26D" w14:textId="6A4E64D4" w:rsidR="00932AF1" w:rsidRDefault="00866857" w:rsidP="00691E08">
      <w:pPr>
        <w:jc w:val="both"/>
        <w:rPr>
          <w:rtl/>
          <w:lang w:bidi="ar-AE"/>
        </w:rPr>
      </w:pPr>
      <w:r>
        <w:rPr>
          <w:rFonts w:hint="cs"/>
          <w:rtl/>
          <w:lang w:bidi="ar-AE"/>
        </w:rPr>
        <w:t xml:space="preserve">حينما احتلت إسرائيل فلسطين كُلّف </w:t>
      </w:r>
      <w:r w:rsidR="00C83EF9">
        <w:rPr>
          <w:rFonts w:hint="cs"/>
          <w:rtl/>
          <w:lang w:bidi="ar-AE"/>
        </w:rPr>
        <w:t>ا</w:t>
      </w:r>
      <w:r>
        <w:rPr>
          <w:rFonts w:hint="cs"/>
          <w:rtl/>
          <w:lang w:bidi="ar-AE"/>
        </w:rPr>
        <w:t>للاوي</w:t>
      </w:r>
      <w:r w:rsidR="00C83EF9">
        <w:rPr>
          <w:rFonts w:hint="cs"/>
          <w:rtl/>
          <w:lang w:bidi="ar-AE"/>
        </w:rPr>
        <w:t>و</w:t>
      </w:r>
      <w:r>
        <w:rPr>
          <w:rFonts w:hint="cs"/>
          <w:rtl/>
          <w:lang w:bidi="ar-AE"/>
        </w:rPr>
        <w:t>ن</w:t>
      </w:r>
      <w:r w:rsidR="00C83EF9">
        <w:rPr>
          <w:rFonts w:hint="cs"/>
          <w:rtl/>
          <w:lang w:bidi="ar-AE"/>
        </w:rPr>
        <w:t xml:space="preserve"> بـ</w:t>
      </w:r>
      <w:r>
        <w:rPr>
          <w:rFonts w:hint="cs"/>
          <w:rtl/>
          <w:lang w:bidi="ar-AE"/>
        </w:rPr>
        <w:t xml:space="preserve"> 48 مدينة ومنها 6 دُعيت بمدن الملجأ (أو مدن الإطلاق إلى الحرية). لقد كانت منتشرة في كل الأرض؛ 3 منها كانت في الجهة الشرقية من نهر الأردن و3 في الجهة الغربية منه (سفر العدد 35: 5؛ تثنية 19؛ يشوع 20).</w:t>
      </w:r>
    </w:p>
    <w:p w14:paraId="4C8FA12A" w14:textId="2D9E4A53" w:rsidR="00866857" w:rsidRDefault="00866857" w:rsidP="00691E08">
      <w:pPr>
        <w:jc w:val="both"/>
        <w:rPr>
          <w:rtl/>
          <w:lang w:bidi="ar-AE"/>
        </w:rPr>
      </w:pPr>
      <w:r>
        <w:rPr>
          <w:rFonts w:hint="cs"/>
          <w:rtl/>
          <w:lang w:bidi="ar-AE"/>
        </w:rPr>
        <w:t>إن</w:t>
      </w:r>
      <w:r w:rsidR="00C83EF9" w:rsidRPr="00C83EF9">
        <w:rPr>
          <w:rtl/>
        </w:rPr>
        <w:t xml:space="preserve"> </w:t>
      </w:r>
      <w:r w:rsidR="00C83EF9" w:rsidRPr="00C83EF9">
        <w:rPr>
          <w:rtl/>
          <w:lang w:bidi="ar-AE"/>
        </w:rPr>
        <w:t>قتل</w:t>
      </w:r>
      <w:r>
        <w:rPr>
          <w:rFonts w:hint="cs"/>
          <w:rtl/>
          <w:lang w:bidi="ar-AE"/>
        </w:rPr>
        <w:t xml:space="preserve"> إسرائيلي</w:t>
      </w:r>
      <w:r w:rsidR="00C83EF9">
        <w:rPr>
          <w:rFonts w:hint="cs"/>
          <w:rtl/>
          <w:lang w:bidi="ar-AE"/>
        </w:rPr>
        <w:t>ٌ</w:t>
      </w:r>
      <w:r>
        <w:rPr>
          <w:rFonts w:hint="cs"/>
          <w:rtl/>
          <w:lang w:bidi="ar-AE"/>
        </w:rPr>
        <w:t xml:space="preserve"> </w:t>
      </w:r>
      <w:r w:rsidRPr="00866857">
        <w:rPr>
          <w:rtl/>
          <w:lang w:bidi="ar-AE"/>
        </w:rPr>
        <w:t xml:space="preserve">شخصًا </w:t>
      </w:r>
      <w:r>
        <w:rPr>
          <w:rFonts w:hint="cs"/>
          <w:rtl/>
          <w:lang w:bidi="ar-AE"/>
        </w:rPr>
        <w:t>سهوًا كان</w:t>
      </w:r>
      <w:r w:rsidR="00C83EF9">
        <w:rPr>
          <w:rFonts w:hint="cs"/>
          <w:rtl/>
          <w:lang w:bidi="ar-AE"/>
        </w:rPr>
        <w:t>ت</w:t>
      </w:r>
      <w:r>
        <w:rPr>
          <w:rFonts w:hint="cs"/>
          <w:rtl/>
          <w:lang w:bidi="ar-AE"/>
        </w:rPr>
        <w:t xml:space="preserve"> حياته معرضة لخطر محدق. المنتقم (أقرب شخص للقتيل) كان يحق له أن يقتل القاتل، وذلك قبل أن يُقدّ</w:t>
      </w:r>
      <w:r w:rsidR="007435D0">
        <w:rPr>
          <w:rFonts w:hint="cs"/>
          <w:rtl/>
          <w:lang w:bidi="ar-AE"/>
        </w:rPr>
        <w:t>َ</w:t>
      </w:r>
      <w:bookmarkStart w:id="0" w:name="_GoBack"/>
      <w:bookmarkEnd w:id="0"/>
      <w:r>
        <w:rPr>
          <w:rFonts w:hint="cs"/>
          <w:rtl/>
          <w:lang w:bidi="ar-AE"/>
        </w:rPr>
        <w:t>م إلى المحاكمة.</w:t>
      </w:r>
    </w:p>
    <w:p w14:paraId="4B096151" w14:textId="0ED3B9B1" w:rsidR="00866857" w:rsidRDefault="00866857" w:rsidP="00691E08">
      <w:pPr>
        <w:jc w:val="both"/>
        <w:rPr>
          <w:rtl/>
          <w:lang w:bidi="ar-AE"/>
        </w:rPr>
      </w:pPr>
      <w:r>
        <w:rPr>
          <w:rFonts w:hint="cs"/>
          <w:rtl/>
          <w:lang w:bidi="ar-AE"/>
        </w:rPr>
        <w:t xml:space="preserve">لكن كانت هنالك إمكانية ليخلص: لقد كان يمكن للقاتل بأن يهرب إلى واحدة من مدن الملجأ. هناك لم يكُن يحق للمنتقم أن يمسه. في المدينة كانوا </w:t>
      </w:r>
      <w:r w:rsidR="003707B6">
        <w:rPr>
          <w:rFonts w:hint="cs"/>
          <w:rtl/>
          <w:lang w:bidi="ar-AE"/>
        </w:rPr>
        <w:t>ينظرون</w:t>
      </w:r>
      <w:r>
        <w:rPr>
          <w:rFonts w:hint="cs"/>
          <w:rtl/>
          <w:lang w:bidi="ar-AE"/>
        </w:rPr>
        <w:t xml:space="preserve"> في قضيته </w:t>
      </w:r>
      <w:r>
        <w:rPr>
          <w:rtl/>
          <w:lang w:bidi="ar-AE"/>
        </w:rPr>
        <w:t>–</w:t>
      </w:r>
      <w:r>
        <w:rPr>
          <w:rFonts w:hint="cs"/>
          <w:rtl/>
          <w:lang w:bidi="ar-AE"/>
        </w:rPr>
        <w:t xml:space="preserve"> </w:t>
      </w:r>
      <w:r w:rsidR="005E3AEA">
        <w:rPr>
          <w:rFonts w:hint="cs"/>
          <w:rtl/>
          <w:lang w:bidi="ar-AE"/>
        </w:rPr>
        <w:t>ف</w:t>
      </w:r>
      <w:r w:rsidR="003707B6" w:rsidRPr="003707B6">
        <w:rPr>
          <w:rtl/>
          <w:lang w:bidi="ar-AE"/>
        </w:rPr>
        <w:t xml:space="preserve">هناك </w:t>
      </w:r>
      <w:r w:rsidR="005E3AEA">
        <w:rPr>
          <w:rFonts w:hint="cs"/>
          <w:rtl/>
          <w:lang w:bidi="ar-AE"/>
        </w:rPr>
        <w:t>دائمًا</w:t>
      </w:r>
      <w:r w:rsidR="003707B6">
        <w:rPr>
          <w:rFonts w:hint="cs"/>
          <w:rtl/>
          <w:lang w:bidi="ar-AE"/>
        </w:rPr>
        <w:t xml:space="preserve"> ما</w:t>
      </w:r>
      <w:r w:rsidR="005E3AEA">
        <w:rPr>
          <w:rFonts w:hint="cs"/>
          <w:rtl/>
          <w:lang w:bidi="ar-AE"/>
        </w:rPr>
        <w:t xml:space="preserve"> كان لاويون -، وإن كان فعلاً قتل سهوًا كان يُحفَظ بلا أذية. لكنه كان لا بد له أن يبقى </w:t>
      </w:r>
      <w:r w:rsidR="003707B6">
        <w:rPr>
          <w:rFonts w:hint="cs"/>
          <w:rtl/>
          <w:lang w:bidi="ar-AE"/>
        </w:rPr>
        <w:t>في مدينة الملجأ إلى أن يموت رئيس الكهنة المسؤول هناك، إذ كان يحق للمنتقم أن يقتله خارج المدينة.</w:t>
      </w:r>
    </w:p>
    <w:p w14:paraId="6B876256" w14:textId="3B4E597A" w:rsidR="003707B6" w:rsidRDefault="003707B6" w:rsidP="00691E08">
      <w:pPr>
        <w:jc w:val="both"/>
        <w:rPr>
          <w:rtl/>
          <w:lang w:bidi="ar-AE"/>
        </w:rPr>
      </w:pPr>
      <w:r>
        <w:rPr>
          <w:rFonts w:hint="cs"/>
          <w:rtl/>
          <w:lang w:bidi="ar-AE"/>
        </w:rPr>
        <w:t>لقد قتل اليهود الرب يسوع. الله لم ينظر إليهم كمجرمين (وإلا لكان قد قضى عليهم في الحال)، وإنما كقتلة عن سهو. إن الرب يسوع أعطاهم من خلال صلاته "يا أبتاه اغفر لهم لأنهم لا يعلمون ماذا يفعلون" هذا الموقف كقتلة سهو. إنهم بطريقة ما قتلو</w:t>
      </w:r>
      <w:r w:rsidR="006A219D">
        <w:rPr>
          <w:rFonts w:hint="cs"/>
          <w:rtl/>
          <w:lang w:bidi="ar-AE"/>
        </w:rPr>
        <w:t>ا المسيح عن سهو. عن سهو فيما معناه بأنهم لم يكونوا يريدون أن يقتلوا رب المجد: هم لم يعلموا بأن يسوع هو هذا الرب العظيم (1. كورنثوس 2: 8).</w:t>
      </w:r>
    </w:p>
    <w:p w14:paraId="47CB8133" w14:textId="0F89ACE4" w:rsidR="006A219D" w:rsidRDefault="006A219D" w:rsidP="00691E08">
      <w:pPr>
        <w:jc w:val="both"/>
        <w:rPr>
          <w:rtl/>
          <w:lang w:bidi="ar-AE"/>
        </w:rPr>
      </w:pPr>
      <w:r>
        <w:rPr>
          <w:rFonts w:hint="cs"/>
          <w:rtl/>
          <w:lang w:bidi="ar-AE"/>
        </w:rPr>
        <w:t xml:space="preserve">ما الذي يجب أن يفعله القاتل؟ لقد كان ينبغي أن يترك المنطقة التي هو فيها وأن يفرّ هاربًا إلى مدينة الملجأ. إن هذا ما فعله العبرانيون الذين آمنوا بالمسيح (أي اليهود). لقد لجأوا ليُمسكوا بالرجاء الموضوع أمامهم (عبرانيين 6: 18). إن مدينة الملجأ هي المسيح. إلا أنه بإتيان العبرانيين إلى المسيح أعطوا القفا لميراثهم القديم (ما كان لإسرائيل). إلا أنهم حصلوا على الرجاء بأن يدخلوا ميراثهم ثانية </w:t>
      </w:r>
      <w:r>
        <w:rPr>
          <w:rtl/>
          <w:lang w:bidi="ar-AE"/>
        </w:rPr>
        <w:t>–</w:t>
      </w:r>
      <w:r>
        <w:rPr>
          <w:rFonts w:hint="cs"/>
          <w:rtl/>
          <w:lang w:bidi="ar-AE"/>
        </w:rPr>
        <w:t xml:space="preserve"> مع الرب يسوع المسيح من السماء. إن هذا سيتم عندما سيخرج الرب يسوع من المقادس السماوية ويُنهي كهنوته على مثال هارون (إن هذا ممثل في الناموس من خلال موت رئيس الكهنة).</w:t>
      </w:r>
    </w:p>
    <w:p w14:paraId="2FBA5343" w14:textId="57B8D53A" w:rsidR="006A219D" w:rsidRDefault="006A219D" w:rsidP="00691E08">
      <w:pPr>
        <w:jc w:val="both"/>
        <w:rPr>
          <w:rtl/>
          <w:lang w:bidi="ar-AE"/>
        </w:rPr>
      </w:pPr>
      <w:r>
        <w:rPr>
          <w:rFonts w:hint="cs"/>
          <w:rtl/>
          <w:lang w:bidi="ar-AE"/>
        </w:rPr>
        <w:t xml:space="preserve">أما معظم اليهود حينذاك فلم يهربوا إلى مدينة الملجأ. إنهم لم </w:t>
      </w:r>
      <w:r w:rsidR="00631E6C">
        <w:rPr>
          <w:rFonts w:hint="cs"/>
          <w:rtl/>
          <w:lang w:bidi="ar-AE"/>
        </w:rPr>
        <w:t>يُعطوا لأنفسهم فرصة ليخلصوا من الجيل المعوج (أعمال الرسل 2: 40، 47). لقد كانوا جسورين في صراخهم الرهيب: "دمه علينا وعلى أولادنا" (متى 27: 25). ولحق بهم المنتقم: في عام 70 أُخربت أورشليم على يد روما وسُفكت دماء كثيرة. والمنتقم إلى يومنا هذا لم يتمم عمله بعد.</w:t>
      </w:r>
    </w:p>
    <w:p w14:paraId="68D904DC" w14:textId="32CFF2E5" w:rsidR="00631E6C" w:rsidRDefault="00631E6C" w:rsidP="00691E08">
      <w:pPr>
        <w:jc w:val="both"/>
        <w:rPr>
          <w:rFonts w:hint="cs"/>
          <w:rtl/>
          <w:lang w:bidi="ar-AE"/>
        </w:rPr>
      </w:pPr>
      <w:r>
        <w:rPr>
          <w:rFonts w:hint="cs"/>
          <w:rtl/>
          <w:lang w:bidi="ar-AE"/>
        </w:rPr>
        <w:t>إنه أمر ينطبق على جميع الناس: اهرب إلى المسيح قبل فوات الأوان!</w:t>
      </w:r>
    </w:p>
    <w:sectPr w:rsidR="00631E6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E08"/>
    <w:rsid w:val="000C5A11"/>
    <w:rsid w:val="003056E7"/>
    <w:rsid w:val="003707B6"/>
    <w:rsid w:val="005E3AEA"/>
    <w:rsid w:val="00631E6C"/>
    <w:rsid w:val="00691E08"/>
    <w:rsid w:val="006A219D"/>
    <w:rsid w:val="007435D0"/>
    <w:rsid w:val="00866857"/>
    <w:rsid w:val="00932AF1"/>
    <w:rsid w:val="00BA192E"/>
    <w:rsid w:val="00C442EF"/>
    <w:rsid w:val="00C83EF9"/>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2DED"/>
  <w15:chartTrackingRefBased/>
  <w15:docId w15:val="{9F0B3B0B-057F-4055-8D8B-F6B82698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2AF1"/>
    <w:rPr>
      <w:color w:val="0563C1" w:themeColor="hyperlink"/>
      <w:u w:val="single"/>
    </w:rPr>
  </w:style>
  <w:style w:type="character" w:styleId="UnresolvedMention">
    <w:name w:val="Unresolved Mention"/>
    <w:basedOn w:val="DefaultParagraphFont"/>
    <w:uiPriority w:val="99"/>
    <w:semiHidden/>
    <w:unhideWhenUsed/>
    <w:rsid w:val="00932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205/hebraeer-in-der-zufluchtsstad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5</cp:revision>
  <dcterms:created xsi:type="dcterms:W3CDTF">2021-09-17T08:37:00Z</dcterms:created>
  <dcterms:modified xsi:type="dcterms:W3CDTF">2021-09-17T09:24:00Z</dcterms:modified>
</cp:coreProperties>
</file>