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974552" w14:textId="3FB863B5" w:rsidR="00FD3BB5" w:rsidRDefault="002C467A">
      <w:pPr>
        <w:rPr>
          <w:rtl/>
          <w:lang w:bidi="ar-AE"/>
        </w:rPr>
      </w:pPr>
      <w:hyperlink r:id="rId7" w:history="1">
        <w:r w:rsidRPr="002C467A">
          <w:rPr>
            <w:rStyle w:val="Hyperlink"/>
            <w:rFonts w:hint="cs"/>
            <w:rtl/>
            <w:lang w:bidi="ar-AE"/>
          </w:rPr>
          <w:t>تأمل في النبي ميخا</w:t>
        </w:r>
      </w:hyperlink>
    </w:p>
    <w:p w14:paraId="1FD5F10B" w14:textId="4C49639A" w:rsidR="00FA2024" w:rsidRDefault="00FA2024">
      <w:pPr>
        <w:rPr>
          <w:rtl/>
          <w:lang w:bidi="ar-AE"/>
        </w:rPr>
      </w:pPr>
      <w:r>
        <w:rPr>
          <w:rFonts w:hint="cs"/>
          <w:rtl/>
          <w:lang w:bidi="ar-AE"/>
        </w:rPr>
        <w:t>سينوبسيس</w:t>
      </w:r>
    </w:p>
    <w:p w14:paraId="5A4B2318" w14:textId="23B07BC6" w:rsidR="002C467A" w:rsidRDefault="002C467A">
      <w:pPr>
        <w:rPr>
          <w:rtl/>
          <w:lang w:bidi="ar-AE"/>
        </w:rPr>
      </w:pPr>
      <w:r w:rsidRPr="002C467A">
        <w:rPr>
          <w:lang w:bidi="ar-AE"/>
        </w:rPr>
        <w:t>John Nelson Darby</w:t>
      </w:r>
    </w:p>
    <w:p w14:paraId="44891C44" w14:textId="06F0CCFB" w:rsidR="002C467A" w:rsidRDefault="002C467A">
      <w:pPr>
        <w:rPr>
          <w:rtl/>
          <w:lang w:bidi="ar-AE"/>
        </w:rPr>
      </w:pPr>
      <w:r>
        <w:rPr>
          <w:rFonts w:hint="cs"/>
          <w:rtl/>
          <w:lang w:bidi="ar-AE"/>
        </w:rPr>
        <w:t>تمهيد</w:t>
      </w:r>
    </w:p>
    <w:p w14:paraId="19D82E6B" w14:textId="77777777" w:rsidR="00274050" w:rsidRDefault="00FA2024">
      <w:pPr>
        <w:rPr>
          <w:rtl/>
          <w:lang w:bidi="ar-AE"/>
        </w:rPr>
        <w:sectPr w:rsidR="00274050" w:rsidSect="00C442EF">
          <w:pgSz w:w="11906" w:h="16838"/>
          <w:pgMar w:top="1440" w:right="1800" w:bottom="1440" w:left="1800" w:header="708" w:footer="708" w:gutter="0"/>
          <w:cols w:space="708"/>
          <w:bidi/>
          <w:rtlGutter/>
          <w:docGrid w:linePitch="360"/>
        </w:sectPr>
      </w:pPr>
      <w:r>
        <w:rPr>
          <w:rFonts w:hint="cs"/>
          <w:rtl/>
          <w:lang w:bidi="ar-AE"/>
        </w:rPr>
        <w:t xml:space="preserve">نبوة ميخا تذكر ذات المعطى التاريخي الذي نشأت فيه كمُعطى التاريخي الذي في أشعياء وهي مطابقة في جزء منه. فهي مشغولة أساسًا بدخول المسيا في ذلك المشهد الذي ظهرت فيه معاملات الله مع إسرائيل إذ أنها تربط حضوره بصورة خاصة بغزو الأشوري. إلا أن هذه النبوة لها أيضًا طابعها الخاص. إنها تتطرق مثل نبوات هوشع وعاموس إلى حالة الشعب الداخلية وتصرفه وتُري كيف أن حالة اليهود مرتبطة بدينونة العالم العامة ما قد وجدناه في مثال في يونان. </w:t>
      </w:r>
      <w:r w:rsidR="00F9508D">
        <w:rPr>
          <w:rFonts w:hint="cs"/>
          <w:rtl/>
          <w:lang w:bidi="ar-AE"/>
        </w:rPr>
        <w:t xml:space="preserve">جزء من نبوة ميخا يتناول أيضًا السامرة وبالتالي كل إسرائيل </w:t>
      </w:r>
      <w:r w:rsidR="002100F8">
        <w:rPr>
          <w:rFonts w:hint="cs"/>
          <w:rtl/>
          <w:lang w:bidi="ar-AE"/>
        </w:rPr>
        <w:t>هو موضوعها.</w:t>
      </w:r>
    </w:p>
    <w:p w14:paraId="5EF46ADC" w14:textId="281F4E0E" w:rsidR="002C467A" w:rsidRDefault="00274050">
      <w:pPr>
        <w:rPr>
          <w:rtl/>
          <w:lang w:bidi="ar-AE"/>
        </w:rPr>
      </w:pPr>
      <w:hyperlink r:id="rId8" w:history="1">
        <w:r w:rsidRPr="00274050">
          <w:rPr>
            <w:rStyle w:val="Hyperlink"/>
            <w:rFonts w:hint="cs"/>
            <w:rtl/>
            <w:lang w:bidi="ar-AE"/>
          </w:rPr>
          <w:t>إصحاح 1</w:t>
        </w:r>
      </w:hyperlink>
    </w:p>
    <w:p w14:paraId="54023DD6" w14:textId="2C84947B" w:rsidR="00274050" w:rsidRDefault="00274050">
      <w:pPr>
        <w:rPr>
          <w:rtl/>
          <w:lang w:bidi="ar-AE"/>
        </w:rPr>
      </w:pPr>
      <w:r>
        <w:rPr>
          <w:rFonts w:hint="cs"/>
          <w:rtl/>
          <w:lang w:bidi="ar-AE"/>
        </w:rPr>
        <w:t xml:space="preserve">الرب يتكلم في السفر الذي أمامنا من داخل هيكله ويتّجه إلى جميع شعوب كل الأرض. هذا يعني: هو يأخذ مكانه في عرشه الأرضي ليدين الأرض وليتقدم أمام جميع الأمم كشاهد. غير أنه يأتي من فوق إلى أسفل في أنه يخرج من مكانه ليطأ على مرتفعات الأرض. كل متعالي ينصهر تحته وكل متواضع كالشمع أمام النار. ولماذا يظهر في هذه الهيئة القضائية. لماذا لم يعُد يريد أن يُظهر أناته مع جهل الأمم ويتركهم يسيرون في طرقهم بعيدًا عنه؟ إن هذا لأجل أن شعبه الذي كان عليه أن يشهد عن اسمه على الأرض، سقط تاركًا إياه، في أنه وهب نفسه لخدمة آلهة أخرى والخطية. على الأرض لم تعُد هنالك شهادة لأن الشهادة الوحيدة التي حملت هذا الاسم هي شهادة كاذبة؛ لأجل هذا لا بد لله </w:t>
      </w:r>
      <w:r w:rsidR="00A47F1C">
        <w:rPr>
          <w:rFonts w:hint="cs"/>
          <w:rtl/>
          <w:lang w:bidi="ar-AE"/>
        </w:rPr>
        <w:t xml:space="preserve">أن يكون هو شاهد لنفسه. والآن أتت كل خطايا الأمم في ذاكرته أمامه، وهي مطروحة ومكشوفة تمامًا أمام عيون لا يمكنها أن تحتمل منظرها. لذا فهي تُسلّم لجبروت أعدائها التي ارتفع كبرياؤها لأجل هذا الأمر لدرجة أنه لا بد لله بأن يتقدم بدينونته. </w:t>
      </w:r>
    </w:p>
    <w:p w14:paraId="7540EF73" w14:textId="00964BC9" w:rsidR="00587722" w:rsidRDefault="00587722">
      <w:pPr>
        <w:rPr>
          <w:rtl/>
          <w:lang w:bidi="ar-AE"/>
        </w:rPr>
      </w:pPr>
      <w:r>
        <w:rPr>
          <w:rFonts w:hint="cs"/>
          <w:rtl/>
          <w:lang w:bidi="ar-AE"/>
        </w:rPr>
        <w:t>أكثر من مرة قد لاحظنا بأن الأشوري يلعب في الأحداث التي تشكل ختام طرق الله على الأرض دورًا رئيسيًا. هنا أيضًا نتقابل معه كالقضيب الذي يستخدمه الله وهو موضوع يظهر بصورة خاصة في نبوة ميخا.</w:t>
      </w:r>
    </w:p>
    <w:p w14:paraId="20E6140C" w14:textId="13692036" w:rsidR="00A04025" w:rsidRDefault="00A04025">
      <w:pPr>
        <w:rPr>
          <w:rtl/>
          <w:lang w:bidi="ar-AE"/>
        </w:rPr>
      </w:pPr>
      <w:r>
        <w:rPr>
          <w:rFonts w:hint="cs"/>
          <w:rtl/>
          <w:lang w:bidi="ar-AE"/>
        </w:rPr>
        <w:t xml:space="preserve">رداءة السامرة وتماثيلها المسحولة </w:t>
      </w:r>
      <w:r w:rsidR="00554264">
        <w:rPr>
          <w:rFonts w:hint="cs"/>
          <w:rtl/>
          <w:lang w:bidi="ar-AE"/>
        </w:rPr>
        <w:t xml:space="preserve">هي السبب في سماح الله بإتيان السوط الرهيب بحسب حكمه العادل، ذلك الطوفان الذي تصل </w:t>
      </w:r>
      <w:r w:rsidR="0057469F">
        <w:rPr>
          <w:rFonts w:hint="cs"/>
          <w:rtl/>
          <w:lang w:bidi="ar-AE"/>
        </w:rPr>
        <w:t>موازينه</w:t>
      </w:r>
      <w:r w:rsidR="00554264">
        <w:rPr>
          <w:rFonts w:hint="cs"/>
          <w:rtl/>
          <w:lang w:bidi="ar-AE"/>
        </w:rPr>
        <w:t xml:space="preserve"> إلى يهوذا (عدد 6 </w:t>
      </w:r>
      <w:r w:rsidR="00554264">
        <w:rPr>
          <w:rtl/>
          <w:lang w:bidi="ar-AE"/>
        </w:rPr>
        <w:t>–</w:t>
      </w:r>
      <w:r w:rsidR="00554264">
        <w:rPr>
          <w:rFonts w:hint="cs"/>
          <w:rtl/>
          <w:lang w:bidi="ar-AE"/>
        </w:rPr>
        <w:t xml:space="preserve"> 9).</w:t>
      </w:r>
    </w:p>
    <w:p w14:paraId="43056DCA" w14:textId="4C53DF06" w:rsidR="003C7343" w:rsidRDefault="003C7343">
      <w:pPr>
        <w:rPr>
          <w:rtl/>
          <w:lang w:bidi="ar-AE"/>
        </w:rPr>
      </w:pPr>
      <w:r>
        <w:rPr>
          <w:rFonts w:hint="cs"/>
          <w:rtl/>
          <w:lang w:bidi="ar-AE"/>
        </w:rPr>
        <w:t xml:space="preserve">إننا سنفهم بأن ما قد حدث أيام النبي له ذات المعنى من نحو حالة الشعب كما سيكون لهم في آخر دينونة في الأيام الأخيرة، ولأجل ذلك البلاغ بتلك الأحداث التي ستقع في المستقبل تؤول إلى الإشارة إلى الضربات الشديدة لتلك الدينونة العتيدة، كما وقد أُنذِر الشعب آنذاك بها أيضًا في الوقت ذاته. إننا </w:t>
      </w:r>
      <w:r w:rsidR="00733243">
        <w:rPr>
          <w:rFonts w:hint="cs"/>
          <w:rtl/>
          <w:lang w:bidi="ar-AE"/>
        </w:rPr>
        <w:t>عاينا</w:t>
      </w:r>
      <w:r>
        <w:rPr>
          <w:rFonts w:hint="cs"/>
          <w:rtl/>
          <w:lang w:bidi="ar-AE"/>
        </w:rPr>
        <w:t xml:space="preserve"> ذات الأمر عدة مرات في الأنبياء.</w:t>
      </w:r>
    </w:p>
    <w:p w14:paraId="36075C69" w14:textId="77777777" w:rsidR="008E0CF9" w:rsidRDefault="007E5D65">
      <w:pPr>
        <w:rPr>
          <w:rtl/>
          <w:lang w:bidi="ar-AE"/>
        </w:rPr>
        <w:sectPr w:rsidR="008E0CF9" w:rsidSect="00C442EF">
          <w:pgSz w:w="11906" w:h="16838"/>
          <w:pgMar w:top="1440" w:right="1800" w:bottom="1440" w:left="1800" w:header="708" w:footer="708" w:gutter="0"/>
          <w:cols w:space="708"/>
          <w:bidi/>
          <w:rtlGutter/>
          <w:docGrid w:linePitch="360"/>
        </w:sectPr>
      </w:pPr>
      <w:r>
        <w:rPr>
          <w:rFonts w:hint="cs"/>
          <w:rtl/>
          <w:lang w:bidi="ar-AE"/>
        </w:rPr>
        <w:t xml:space="preserve">من دون شك أن الموضع الذي أمامنا ينظر إلى شلمنصّر وسنحريب؛ غير أنه إن تأملنا النبوة بحسب كل أبعادها، فسيتضح بأنها مجرد السبب في نشوئها. الأشوري يصل حتى إلى أبواب أورشليم. في الأعداد 11 </w:t>
      </w:r>
      <w:r>
        <w:rPr>
          <w:rtl/>
          <w:lang w:bidi="ar-AE"/>
        </w:rPr>
        <w:t>–</w:t>
      </w:r>
      <w:r>
        <w:rPr>
          <w:rFonts w:hint="cs"/>
          <w:rtl/>
          <w:lang w:bidi="ar-AE"/>
        </w:rPr>
        <w:t xml:space="preserve"> 16 يُذكَر تقدُّم</w:t>
      </w:r>
      <w:r w:rsidR="00C06316">
        <w:rPr>
          <w:rFonts w:hint="cs"/>
          <w:rtl/>
          <w:lang w:bidi="ar-AE"/>
        </w:rPr>
        <w:t xml:space="preserve"> اندفاعي</w:t>
      </w:r>
      <w:r>
        <w:rPr>
          <w:rFonts w:hint="cs"/>
          <w:rtl/>
          <w:lang w:bidi="ar-AE"/>
        </w:rPr>
        <w:t xml:space="preserve"> كما يحدث أيضًا في أشعياء؛ إلا أنه هنا يُذكَر على نحو عارض الأسباب التي لأجلها أصابت </w:t>
      </w:r>
      <w:r w:rsidR="00C06316" w:rsidRPr="00C06316">
        <w:rPr>
          <w:rtl/>
          <w:lang w:bidi="ar-AE"/>
        </w:rPr>
        <w:t xml:space="preserve">الدينونة </w:t>
      </w:r>
      <w:r>
        <w:rPr>
          <w:rFonts w:hint="cs"/>
          <w:rtl/>
          <w:lang w:bidi="ar-AE"/>
        </w:rPr>
        <w:t>المدن التي يهاجمها، بينما أشعياء فيذكرها فقط كمحطات لزحفه.</w:t>
      </w:r>
    </w:p>
    <w:p w14:paraId="391F981A" w14:textId="74CFE0F9" w:rsidR="003C7343" w:rsidRDefault="00544B84">
      <w:pPr>
        <w:rPr>
          <w:rtl/>
          <w:lang w:bidi="ar-AE"/>
        </w:rPr>
      </w:pPr>
      <w:hyperlink r:id="rId9" w:history="1">
        <w:r w:rsidRPr="00544B84">
          <w:rPr>
            <w:rStyle w:val="Hyperlink"/>
            <w:rFonts w:hint="cs"/>
            <w:rtl/>
            <w:lang w:bidi="ar-AE"/>
          </w:rPr>
          <w:t>إصحاح 2</w:t>
        </w:r>
      </w:hyperlink>
    </w:p>
    <w:p w14:paraId="65F6A964" w14:textId="5E492F58" w:rsidR="00544B84" w:rsidRDefault="00EF6514">
      <w:pPr>
        <w:rPr>
          <w:rtl/>
          <w:lang w:bidi="ar-AE"/>
        </w:rPr>
      </w:pPr>
      <w:r>
        <w:rPr>
          <w:rFonts w:hint="cs"/>
          <w:rtl/>
          <w:lang w:bidi="ar-AE"/>
        </w:rPr>
        <w:t xml:space="preserve">في هذا الإصحاح يذكر النبي الخطايا المميزة التي بسببها حدثت دينونة الله؛ لقد كانت ذلك السلب العنيف والقمع الذي لا يعرف الخجل. لقد خططوا كيف يستولوا على الأمور بطريقة السلب، التي ابتغوها في نفوسهم، وبالتالي خطّط الرب أيضًا كيف سيوقع دينونته عليهم (الأعداد 1 </w:t>
      </w:r>
      <w:r>
        <w:rPr>
          <w:rtl/>
          <w:lang w:bidi="ar-AE"/>
        </w:rPr>
        <w:t>–</w:t>
      </w:r>
      <w:r>
        <w:rPr>
          <w:rFonts w:hint="cs"/>
          <w:rtl/>
          <w:lang w:bidi="ar-AE"/>
        </w:rPr>
        <w:t xml:space="preserve"> 5). هم رفضوا كلمة الشهادة. وهي بذاتها يجب أن تُنتزع منهم، وغير أن الدينونة الرهيبة ستقع عليهم فإن روح الضلال والسُّكر سيكون لهم نبوة</w:t>
      </w:r>
      <w:r>
        <w:rPr>
          <w:rStyle w:val="FootnoteReference"/>
          <w:rtl/>
          <w:lang w:bidi="ar-AE"/>
        </w:rPr>
        <w:footnoteReference w:id="1"/>
      </w:r>
      <w:r>
        <w:rPr>
          <w:rFonts w:hint="cs"/>
          <w:rtl/>
          <w:lang w:bidi="ar-AE"/>
        </w:rPr>
        <w:t>.</w:t>
      </w:r>
    </w:p>
    <w:p w14:paraId="4E2CFDEA" w14:textId="77777777" w:rsidR="003634E8" w:rsidRDefault="00EF6514">
      <w:pPr>
        <w:rPr>
          <w:rtl/>
          <w:lang w:bidi="ar-AE"/>
        </w:rPr>
        <w:sectPr w:rsidR="003634E8" w:rsidSect="00C442EF">
          <w:pgSz w:w="11906" w:h="16838"/>
          <w:pgMar w:top="1440" w:right="1800" w:bottom="1440" w:left="1800" w:header="708" w:footer="708" w:gutter="0"/>
          <w:cols w:space="708"/>
          <w:bidi/>
          <w:rtlGutter/>
          <w:docGrid w:linePitch="360"/>
        </w:sectPr>
      </w:pPr>
      <w:r>
        <w:rPr>
          <w:rFonts w:hint="cs"/>
          <w:rtl/>
          <w:lang w:bidi="ar-AE"/>
        </w:rPr>
        <w:t>الشعب تمرّد كالعدو: شرّهم لم يشفق لا على نساء ولا على أولاد (عدد 8، 9). جميع الذين كانت لهم آذان للسمع أمرهم الرب بالقيام والانفصال عن كل هذه المعاصي. في وسط هذه الحالة من الأمور لم يستطع شعب الله بأن يجد لنفسه راحة. كيف سيكون لقديسي الرب راحة</w:t>
      </w:r>
      <w:r w:rsidR="00926D58">
        <w:rPr>
          <w:rFonts w:hint="cs"/>
          <w:rtl/>
          <w:lang w:bidi="ar-AE"/>
        </w:rPr>
        <w:t xml:space="preserve"> في المكان الذي كان محاطًا بالتنجسات (عدد 10، 11)؟ على الرغم من ذلك الرب لم يُبطل أي قصد للبركة قد حدده لإسرائيل. هو أراد أن يجمعه كله، كل الرعية بأعدادها الغفيرة التي كانت تحت حماه. المقتحم الذي كان سيفتح الطريق وسيزيل كل عائق سيتقدم أمامهم. هم سيخرجون من مكان أسرهم. الملك سيتقدم أمامهم، وسيكون الرب علىرأسهم (عدد 12، 13).</w:t>
      </w:r>
    </w:p>
    <w:p w14:paraId="38AA2414" w14:textId="66CAF25C" w:rsidR="00EF6514" w:rsidRDefault="003634E8">
      <w:pPr>
        <w:rPr>
          <w:rtl/>
          <w:lang w:bidi="ar-AE"/>
        </w:rPr>
      </w:pPr>
      <w:hyperlink r:id="rId10" w:history="1">
        <w:r w:rsidRPr="003634E8">
          <w:rPr>
            <w:rStyle w:val="Hyperlink"/>
            <w:rFonts w:hint="cs"/>
            <w:rtl/>
            <w:lang w:bidi="ar-AE"/>
          </w:rPr>
          <w:t>إصحاح 3</w:t>
        </w:r>
      </w:hyperlink>
    </w:p>
    <w:p w14:paraId="194C372C" w14:textId="77777777" w:rsidR="006736C5" w:rsidRDefault="002C6B0C">
      <w:pPr>
        <w:rPr>
          <w:rtl/>
          <w:lang w:bidi="ar-AE"/>
        </w:rPr>
        <w:sectPr w:rsidR="006736C5" w:rsidSect="00C442EF">
          <w:pgSz w:w="11906" w:h="16838"/>
          <w:pgMar w:top="1440" w:right="1800" w:bottom="1440" w:left="1800" w:header="708" w:footer="708" w:gutter="0"/>
          <w:cols w:space="708"/>
          <w:bidi/>
          <w:rtlGutter/>
          <w:docGrid w:linePitch="360"/>
        </w:sectPr>
      </w:pPr>
      <w:r>
        <w:rPr>
          <w:rFonts w:hint="cs"/>
          <w:rtl/>
          <w:lang w:bidi="ar-AE"/>
        </w:rPr>
        <w:t xml:space="preserve">النبي يشكو من جديد من رؤساء وقادة يعقوب. إنهم سيصرخون إلى الرب لكنه لن يستجيب لهم. لن ينيرهم أي نبي بنور كلمته. الراؤون سيُخزَون، إنه لن يكون أي جواب من الله (عدد 1 </w:t>
      </w:r>
      <w:r>
        <w:rPr>
          <w:rtl/>
          <w:lang w:bidi="ar-AE"/>
        </w:rPr>
        <w:t>–</w:t>
      </w:r>
      <w:r>
        <w:rPr>
          <w:rFonts w:hint="cs"/>
          <w:rtl/>
          <w:lang w:bidi="ar-AE"/>
        </w:rPr>
        <w:t xml:space="preserve"> 7). الأمر لم يكن كذلك مع النبي. هو كانت ممتلئًا قوة بروح الرب ليُخبر يعقوب بتعدياته وإسرائيل بخطيته (عدد 8). هو يفعل ذلك باشتكائه </w:t>
      </w:r>
      <w:r w:rsidR="00ED0D71">
        <w:rPr>
          <w:rFonts w:hint="cs"/>
          <w:rtl/>
          <w:lang w:bidi="ar-AE"/>
        </w:rPr>
        <w:t xml:space="preserve">ثانية من القائمين على رأس الشعب، الذين قضوا بهدف التقدمات والهدايا، والأنبياء أيضًا الذين تنبأوا مقابل المال، بينما بنفس الوقت افتخروا بامتيازهم، بأن الرب في وسطهم، وهو امتياز في الواقع لم يكن إلا من نصيب هذا الشعب لوحده. </w:t>
      </w:r>
      <w:r w:rsidR="009C2DC6">
        <w:rPr>
          <w:rFonts w:hint="cs"/>
          <w:rtl/>
          <w:lang w:bidi="ar-AE"/>
        </w:rPr>
        <w:t xml:space="preserve">لم يكن هناك أي شيء آخر يستاء منه الرب إلا عندما نفخ أولئك، الذين حملوا اسم شعبه، صدورهم بالامتياز بأنه موجود في وسطهم، بينما هم كانت غايتهم في هذا التفاخر فقط بأن يعلّوا من قدر أنفسهم وأن يبرروا طرقهم الشريرة، أو بالرغم منها أن يدّعوا أن الله يعمل لخيرهم. لأجل ذلك ستُحرَث صهيون كالحقول، </w:t>
      </w:r>
      <w:r w:rsidR="00E506C3">
        <w:rPr>
          <w:rFonts w:hint="cs"/>
          <w:rtl/>
          <w:lang w:bidi="ar-AE"/>
        </w:rPr>
        <w:t>والجبال المزينة الآن بالقصور ستصبح على مستوى الغابات في ارتفاعها</w:t>
      </w:r>
      <w:r w:rsidR="009B2862">
        <w:rPr>
          <w:rFonts w:hint="cs"/>
          <w:rtl/>
          <w:lang w:bidi="ar-AE"/>
        </w:rPr>
        <w:t xml:space="preserve"> (عدد 9 </w:t>
      </w:r>
      <w:r w:rsidR="009B2862">
        <w:rPr>
          <w:rtl/>
          <w:lang w:bidi="ar-AE"/>
        </w:rPr>
        <w:t>–</w:t>
      </w:r>
      <w:r w:rsidR="009B2862">
        <w:rPr>
          <w:rFonts w:hint="cs"/>
          <w:rtl/>
          <w:lang w:bidi="ar-AE"/>
        </w:rPr>
        <w:t xml:space="preserve"> 12).</w:t>
      </w:r>
    </w:p>
    <w:p w14:paraId="12C0A983" w14:textId="761B199B" w:rsidR="003634E8" w:rsidRDefault="006736C5">
      <w:pPr>
        <w:rPr>
          <w:rtl/>
          <w:lang w:bidi="ar-AE"/>
        </w:rPr>
      </w:pPr>
      <w:r>
        <w:rPr>
          <w:rFonts w:hint="cs"/>
          <w:rtl/>
          <w:lang w:bidi="ar-AE"/>
        </w:rPr>
        <w:t xml:space="preserve">إصحاح 4 </w:t>
      </w:r>
      <w:r>
        <w:rPr>
          <w:rtl/>
          <w:lang w:bidi="ar-AE"/>
        </w:rPr>
        <w:t>–</w:t>
      </w:r>
      <w:r>
        <w:rPr>
          <w:rFonts w:hint="cs"/>
          <w:rtl/>
          <w:lang w:bidi="ar-AE"/>
        </w:rPr>
        <w:t xml:space="preserve"> 5</w:t>
      </w:r>
    </w:p>
    <w:p w14:paraId="602D4BFE" w14:textId="6B4F0BDB" w:rsidR="006736C5" w:rsidRDefault="006736C5">
      <w:pPr>
        <w:rPr>
          <w:rFonts w:hint="cs"/>
          <w:rtl/>
          <w:lang w:bidi="ar-AE"/>
        </w:rPr>
      </w:pPr>
      <w:r>
        <w:rPr>
          <w:rFonts w:hint="cs"/>
          <w:rtl/>
          <w:lang w:bidi="ar-AE"/>
        </w:rPr>
        <w:t xml:space="preserve">من جديد يختتم النبي شكواه في روح أشعياء التي يقدمها بسبب الخطية، كما ونبواته عن الدينونة والخراب ببلاغه عن التجديد التام لبركة صهيون ومجدها. </w:t>
      </w:r>
      <w:r w:rsidR="00BD44F3">
        <w:rPr>
          <w:rFonts w:hint="cs"/>
          <w:rtl/>
          <w:lang w:bidi="ar-AE"/>
        </w:rPr>
        <w:t xml:space="preserve">إذ أنه لم يكن هناك داعٍ بأن يعبّر بطريقة أخرى فإن الروح هنا يكرر الوصف الذي وصفه في أشعياء 2 عن مجد صهيون في الأيام الأخيرة. غير أن النبوة التي أمامنا غير مفصلة كتلك وبالتالي هي تنضم إلى الوصف المذكور هنا مباشرة في ذِكر أحداث الأيام </w:t>
      </w:r>
      <w:hyperlink r:id="rId11" w:anchor=":~:text=letzten%20Tagen%20an.-,Wenn%20Gott,-den%20m%C3%A4chtigen%20Nationen" w:history="1">
        <w:r w:rsidR="00BD44F3" w:rsidRPr="00BD44F3">
          <w:rPr>
            <w:rStyle w:val="Hyperlink"/>
            <w:rFonts w:hint="cs"/>
            <w:rtl/>
            <w:lang w:bidi="ar-AE"/>
          </w:rPr>
          <w:t>الأخيرة</w:t>
        </w:r>
      </w:hyperlink>
      <w:bookmarkStart w:id="0" w:name="_GoBack"/>
      <w:bookmarkEnd w:id="0"/>
      <w:r w:rsidR="00BD44F3">
        <w:rPr>
          <w:rFonts w:hint="cs"/>
          <w:rtl/>
          <w:lang w:bidi="ar-AE"/>
        </w:rPr>
        <w:t xml:space="preserve">. </w:t>
      </w:r>
    </w:p>
    <w:sectPr w:rsidR="006736C5"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540A1C" w14:textId="77777777" w:rsidR="00E30570" w:rsidRDefault="00E30570" w:rsidP="00EF6514">
      <w:pPr>
        <w:spacing w:after="0" w:line="240" w:lineRule="auto"/>
      </w:pPr>
      <w:r>
        <w:separator/>
      </w:r>
    </w:p>
  </w:endnote>
  <w:endnote w:type="continuationSeparator" w:id="0">
    <w:p w14:paraId="55627471" w14:textId="77777777" w:rsidR="00E30570" w:rsidRDefault="00E30570" w:rsidP="00EF6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75E735" w14:textId="77777777" w:rsidR="00E30570" w:rsidRDefault="00E30570" w:rsidP="00EF6514">
      <w:pPr>
        <w:spacing w:after="0" w:line="240" w:lineRule="auto"/>
      </w:pPr>
      <w:r>
        <w:separator/>
      </w:r>
    </w:p>
  </w:footnote>
  <w:footnote w:type="continuationSeparator" w:id="0">
    <w:p w14:paraId="2FA3B3F5" w14:textId="77777777" w:rsidR="00E30570" w:rsidRDefault="00E30570" w:rsidP="00EF6514">
      <w:pPr>
        <w:spacing w:after="0" w:line="240" w:lineRule="auto"/>
      </w:pPr>
      <w:r>
        <w:continuationSeparator/>
      </w:r>
    </w:p>
  </w:footnote>
  <w:footnote w:id="1">
    <w:p w14:paraId="02F59E68" w14:textId="685EB377" w:rsidR="00EF6514" w:rsidRPr="005C3A8B" w:rsidRDefault="00EF6514">
      <w:pPr>
        <w:pStyle w:val="FootnoteText"/>
        <w:rPr>
          <w:b/>
          <w:bCs/>
          <w:sz w:val="26"/>
          <w:szCs w:val="26"/>
        </w:rPr>
      </w:pPr>
      <w:r w:rsidRPr="005C3A8B">
        <w:rPr>
          <w:rStyle w:val="FootnoteReference"/>
          <w:b/>
          <w:bCs/>
          <w:sz w:val="26"/>
          <w:szCs w:val="26"/>
        </w:rPr>
        <w:footnoteRef/>
      </w:r>
      <w:r w:rsidRPr="005C3A8B">
        <w:rPr>
          <w:b/>
          <w:bCs/>
          <w:sz w:val="26"/>
          <w:szCs w:val="26"/>
          <w:rtl/>
        </w:rPr>
        <w:t xml:space="preserve"> </w:t>
      </w:r>
      <w:r w:rsidR="00FF46C1" w:rsidRPr="005C3A8B">
        <w:rPr>
          <w:rFonts w:hint="cs"/>
          <w:b/>
          <w:bCs/>
          <w:sz w:val="26"/>
          <w:szCs w:val="26"/>
          <w:rtl/>
        </w:rPr>
        <w:t>العدد 6 غامض كليًا. ربما إصحاح 3: 7 يكون شرحًا له.</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7A"/>
    <w:rsid w:val="000C5A11"/>
    <w:rsid w:val="002100F8"/>
    <w:rsid w:val="00274050"/>
    <w:rsid w:val="002C467A"/>
    <w:rsid w:val="002C6B0C"/>
    <w:rsid w:val="003056E7"/>
    <w:rsid w:val="003634E8"/>
    <w:rsid w:val="003C7343"/>
    <w:rsid w:val="00544B84"/>
    <w:rsid w:val="00554264"/>
    <w:rsid w:val="0057469F"/>
    <w:rsid w:val="00587722"/>
    <w:rsid w:val="005C3A8B"/>
    <w:rsid w:val="006736C5"/>
    <w:rsid w:val="00733243"/>
    <w:rsid w:val="007E5D65"/>
    <w:rsid w:val="008E0CF9"/>
    <w:rsid w:val="00926D58"/>
    <w:rsid w:val="009B2862"/>
    <w:rsid w:val="009C2DC6"/>
    <w:rsid w:val="00A04025"/>
    <w:rsid w:val="00A47F1C"/>
    <w:rsid w:val="00BA192E"/>
    <w:rsid w:val="00BD44F3"/>
    <w:rsid w:val="00C06316"/>
    <w:rsid w:val="00C442EF"/>
    <w:rsid w:val="00E30570"/>
    <w:rsid w:val="00E506C3"/>
    <w:rsid w:val="00ED0D71"/>
    <w:rsid w:val="00EF6514"/>
    <w:rsid w:val="00F9508D"/>
    <w:rsid w:val="00FA2024"/>
    <w:rsid w:val="00FD3BB5"/>
    <w:rsid w:val="00FF46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230CC"/>
  <w15:chartTrackingRefBased/>
  <w15:docId w15:val="{51183C59-5730-402E-AD0A-D374BFE0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467A"/>
    <w:rPr>
      <w:color w:val="0563C1" w:themeColor="hyperlink"/>
      <w:u w:val="single"/>
    </w:rPr>
  </w:style>
  <w:style w:type="character" w:styleId="UnresolvedMention">
    <w:name w:val="Unresolved Mention"/>
    <w:basedOn w:val="DefaultParagraphFont"/>
    <w:uiPriority w:val="99"/>
    <w:semiHidden/>
    <w:unhideWhenUsed/>
    <w:rsid w:val="002C467A"/>
    <w:rPr>
      <w:color w:val="605E5C"/>
      <w:shd w:val="clear" w:color="auto" w:fill="E1DFDD"/>
    </w:rPr>
  </w:style>
  <w:style w:type="paragraph" w:styleId="FootnoteText">
    <w:name w:val="footnote text"/>
    <w:basedOn w:val="Normal"/>
    <w:link w:val="FootnoteTextChar"/>
    <w:uiPriority w:val="99"/>
    <w:semiHidden/>
    <w:unhideWhenUsed/>
    <w:rsid w:val="00EF65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F6514"/>
    <w:rPr>
      <w:noProof/>
      <w:sz w:val="20"/>
      <w:szCs w:val="20"/>
      <w:lang w:bidi="ar-EG"/>
    </w:rPr>
  </w:style>
  <w:style w:type="character" w:styleId="FootnoteReference">
    <w:name w:val="footnote reference"/>
    <w:basedOn w:val="DefaultParagraphFont"/>
    <w:uiPriority w:val="99"/>
    <w:semiHidden/>
    <w:unhideWhenUsed/>
    <w:rsid w:val="00EF651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45/betrachtung-ueber-den-propheten-micha-synopsis/kapitel-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belkommentare.de/kommentare/85/betrachtung-ueber-den-propheten-micha-synopsi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448/betrachtung-ueber-den-propheten-micha-synopsis/kapitel-4-5" TargetMode="External"/><Relationship Id="rId5" Type="http://schemas.openxmlformats.org/officeDocument/2006/relationships/footnotes" Target="footnotes.xml"/><Relationship Id="rId10" Type="http://schemas.openxmlformats.org/officeDocument/2006/relationships/hyperlink" Target="https://www.bibelkommentare.de/kommentare/k-447/betrachtung-ueber-den-propheten-micha-synopsis/kapitel-3" TargetMode="External"/><Relationship Id="rId4" Type="http://schemas.openxmlformats.org/officeDocument/2006/relationships/webSettings" Target="webSettings.xml"/><Relationship Id="rId9" Type="http://schemas.openxmlformats.org/officeDocument/2006/relationships/hyperlink" Target="https://www.bibelkommentare.de/kommentare/k-446/betrachtung-ueber-den-propheten-micha-synopsis/kapite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AABB4-72DE-4EF2-8181-90A6E69D7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20</cp:revision>
  <dcterms:created xsi:type="dcterms:W3CDTF">2022-05-18T08:36:00Z</dcterms:created>
  <dcterms:modified xsi:type="dcterms:W3CDTF">2022-05-18T11:05:00Z</dcterms:modified>
</cp:coreProperties>
</file>