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D7726" w14:textId="77777777" w:rsidR="00FD3BB5" w:rsidRDefault="00000000" w:rsidP="00F3453E">
      <w:pPr>
        <w:jc w:val="both"/>
        <w:rPr>
          <w:rtl/>
          <w:lang w:bidi="ar-AE"/>
        </w:rPr>
      </w:pPr>
      <w:hyperlink r:id="rId7" w:history="1">
        <w:r w:rsidR="00F3453E" w:rsidRPr="00F3453E">
          <w:rPr>
            <w:rStyle w:val="Hyperlink"/>
            <w:rFonts w:hint="cs"/>
            <w:rtl/>
            <w:lang w:bidi="ar-AE"/>
          </w:rPr>
          <w:t>تأملات حول نبوة ناحوم – سينوبسيس</w:t>
        </w:r>
      </w:hyperlink>
    </w:p>
    <w:p w14:paraId="7130E2E4" w14:textId="77777777" w:rsidR="00F3453E" w:rsidRDefault="00F3453E" w:rsidP="00F3453E">
      <w:pPr>
        <w:jc w:val="both"/>
        <w:rPr>
          <w:rtl/>
          <w:lang w:bidi="ar-AE"/>
        </w:rPr>
      </w:pPr>
      <w:r w:rsidRPr="00F3453E">
        <w:rPr>
          <w:lang w:bidi="ar-AE"/>
        </w:rPr>
        <w:t>John Nelson Darby</w:t>
      </w:r>
    </w:p>
    <w:p w14:paraId="7B7D28DB" w14:textId="77777777" w:rsidR="00FA4A64" w:rsidRDefault="00FA4A64" w:rsidP="00F3453E">
      <w:pPr>
        <w:jc w:val="both"/>
        <w:rPr>
          <w:rtl/>
          <w:lang w:bidi="ar-AE"/>
        </w:rPr>
      </w:pPr>
      <w:r>
        <w:rPr>
          <w:rFonts w:hint="cs"/>
          <w:rtl/>
          <w:lang w:bidi="ar-AE"/>
        </w:rPr>
        <w:t xml:space="preserve">إن أردنا بأن نتأمل الملامح الخاصة بأكثر دقة في كل أمة من الأمم التي كانت في تلامس مع شعب الله، فربما سنجد بأن في كل واحدة منها يوجد انطباع واضح جدًا لنوع محدد من الشر. على أي حال هذا هو الوضع مع أكثر الأعداء رئيسية لهذا الشعب. ففي مصر، وبابل ونينوى تظهر مختلف الحالات التي تمثلها في صورة تعبيرية. مصر هي العالم في حالته الطبيعية، التي خرج منها الشعب. بابل هي الفساد، التي تتعامل بسلطة تستعبد الشعب. نينوى هي العالم في كبريائه وأُبهته، المنتفخ بأهميته ولا </w:t>
      </w:r>
      <w:r w:rsidR="00167EF4">
        <w:rPr>
          <w:rFonts w:hint="cs"/>
          <w:rtl/>
          <w:lang w:bidi="ar-AE"/>
        </w:rPr>
        <w:t xml:space="preserve">يحترم أي شيء آخر </w:t>
      </w:r>
      <w:r w:rsidR="00167EF4">
        <w:rPr>
          <w:rtl/>
          <w:lang w:bidi="ar-AE"/>
        </w:rPr>
        <w:t>–</w:t>
      </w:r>
      <w:r w:rsidR="00167EF4">
        <w:rPr>
          <w:rFonts w:hint="cs"/>
          <w:rtl/>
          <w:lang w:bidi="ar-AE"/>
        </w:rPr>
        <w:t xml:space="preserve"> العالم، الذي ببساطة منقاد بكبريائه ليجابه شعب الله في عداء علني. إنه سيُدان كباقي الأعداء وسيختفي إلى الأبد بحكم دينونة القدير. الرب أمر ضدًا له، بأنه لن يُزرَع فيما بعد أيٌّ من نسله. هذه الدينونة بسيطة جدًا، بحيث أن النبوة المُخبَر عنها فيها لاتتطلب </w:t>
      </w:r>
      <w:r w:rsidR="00D07B67">
        <w:rPr>
          <w:rFonts w:hint="cs"/>
          <w:rtl/>
          <w:lang w:bidi="ar-AE"/>
        </w:rPr>
        <w:t>إلا القليل من الشرح.</w:t>
      </w:r>
    </w:p>
    <w:p w14:paraId="0B954648" w14:textId="77777777" w:rsidR="000E304B" w:rsidRDefault="000E304B" w:rsidP="00F3453E">
      <w:pPr>
        <w:jc w:val="both"/>
        <w:rPr>
          <w:rtl/>
          <w:lang w:bidi="ar-AE"/>
        </w:rPr>
      </w:pPr>
      <w:r>
        <w:rPr>
          <w:rFonts w:hint="cs"/>
          <w:rtl/>
          <w:lang w:bidi="ar-AE"/>
        </w:rPr>
        <w:t xml:space="preserve">إنها تبدأ بعرض جوهر الله كما يظهر من نحو ما لا بد أن يحتمله من جانب كبرياء الإنسان. الرب هو إله غيور ومنتقم. إنها فكرة جدية، بحيث، كلما كانت أناة الله أكبر، إلا أنه سيأتي يوم سيُظهر بأنه لا يوجد لديه أي إمهال مع الشر. </w:t>
      </w:r>
      <w:r w:rsidR="00AB3902">
        <w:rPr>
          <w:rFonts w:hint="cs"/>
          <w:rtl/>
          <w:lang w:bidi="ar-AE"/>
        </w:rPr>
        <w:t>كما وأنها أيضًا فكرة معزية؛ لأن انتقام الله يحرر العالم من الضغطة والبؤس الذي كان فيها تحت نير العدو والشهوة، ليزهو في عيني محرره ومؤتي السلام.</w:t>
      </w:r>
    </w:p>
    <w:p w14:paraId="78B60135" w14:textId="06493F6C" w:rsidR="00D97BB2" w:rsidRDefault="00D97BB2" w:rsidP="00F3453E">
      <w:pPr>
        <w:jc w:val="both"/>
        <w:rPr>
          <w:rtl/>
          <w:lang w:bidi="ar-AE"/>
        </w:rPr>
      </w:pPr>
      <w:r>
        <w:rPr>
          <w:rFonts w:hint="cs"/>
          <w:rtl/>
          <w:lang w:bidi="ar-AE"/>
        </w:rPr>
        <w:t>إنه بلا شك سمح للشر بأن يتمادى ويتّسع. هو ليس غير متأني، كما هي قلوبنا البائسة. هو بطيء الغضب؛ لكن هذا الغضب هو رهيب أكثر لأنه يُظهر برّ الذي هو ليس غير متأنٍ البتة. هو عظيم القدرة، وهو لا يُبرئ الأثيم ولا بأي حال</w:t>
      </w:r>
      <w:r>
        <w:rPr>
          <w:rStyle w:val="FootnoteReference"/>
          <w:rtl/>
          <w:lang w:bidi="ar-AE"/>
        </w:rPr>
        <w:footnoteReference w:id="1"/>
      </w:r>
      <w:r>
        <w:rPr>
          <w:rFonts w:hint="cs"/>
          <w:rtl/>
          <w:lang w:bidi="ar-AE"/>
        </w:rPr>
        <w:t>.</w:t>
      </w:r>
      <w:r w:rsidR="003D76B4">
        <w:rPr>
          <w:rFonts w:hint="cs"/>
          <w:rtl/>
          <w:lang w:bidi="ar-AE"/>
        </w:rPr>
        <w:t xml:space="preserve"> مَن يستطيع الوقوف أمام غضبه، ومَن يحتمل </w:t>
      </w:r>
      <w:r w:rsidR="00813FD0">
        <w:rPr>
          <w:rFonts w:hint="cs"/>
          <w:rtl/>
          <w:lang w:bidi="ar-AE"/>
        </w:rPr>
        <w:t>حمو</w:t>
      </w:r>
      <w:r w:rsidR="003D76B4">
        <w:rPr>
          <w:rFonts w:hint="cs"/>
          <w:rtl/>
          <w:lang w:bidi="ar-AE"/>
        </w:rPr>
        <w:t xml:space="preserve"> غضبه؟</w:t>
      </w:r>
    </w:p>
    <w:p w14:paraId="79595246" w14:textId="77777777" w:rsidR="003D76B4" w:rsidRDefault="003D76B4" w:rsidP="00F3453E">
      <w:pPr>
        <w:jc w:val="both"/>
        <w:rPr>
          <w:rtl/>
          <w:lang w:bidi="ar-AE"/>
        </w:rPr>
      </w:pPr>
      <w:r>
        <w:rPr>
          <w:rFonts w:hint="cs"/>
          <w:rtl/>
          <w:lang w:bidi="ar-AE"/>
        </w:rPr>
        <w:t>لكن هذا ليس كل شيء. عندما يطلق عنان غيظه، فليس الأمر بأنه لم يعرف أي حد له وقد أهلك كل شيء دون تمييز. الرب صالح؛ فهو حصن في يوم الضيق. عندما تنسكب تيارات الشر والدينونة</w:t>
      </w:r>
      <w:r w:rsidR="00397E66">
        <w:rPr>
          <w:rFonts w:hint="cs"/>
          <w:rtl/>
          <w:lang w:bidi="ar-AE"/>
        </w:rPr>
        <w:t xml:space="preserve"> </w:t>
      </w:r>
      <w:r w:rsidR="00397E66">
        <w:rPr>
          <w:rtl/>
          <w:lang w:bidi="ar-AE"/>
        </w:rPr>
        <w:t>–</w:t>
      </w:r>
      <w:r w:rsidR="00397E66">
        <w:rPr>
          <w:rFonts w:hint="cs"/>
          <w:rtl/>
          <w:lang w:bidi="ar-AE"/>
        </w:rPr>
        <w:t xml:space="preserve"> تيارات الشر التي هي دينونة بحد ذاتها، وتيارات الدينونة التي لن يصمد أمامها شيء التي ستقع عليه -، من ثم فإنه الملجأ الأكيد لكل المتكلين عليه: هو بنفسه يعرف الذين يفعلون ذلك. فيما يتعلق بمجد العدو، فإنه سيُدمّر، يُمحى ويُباد. وبينما يسلمون أنفسهم لملذاتهم دون اهتمام، يسكرون ولا يعيون بأي شر، سيُحرقون كالقش الجاف.</w:t>
      </w:r>
    </w:p>
    <w:p w14:paraId="09BE2F2D" w14:textId="4CD433AB" w:rsidR="00A91526" w:rsidRDefault="00254CD5" w:rsidP="00A91526">
      <w:pPr>
        <w:jc w:val="both"/>
        <w:rPr>
          <w:rtl/>
          <w:lang w:bidi="ar-SA"/>
        </w:rPr>
      </w:pPr>
      <w:r>
        <w:rPr>
          <w:rFonts w:hint="cs"/>
          <w:rtl/>
          <w:lang w:bidi="ar-AE"/>
        </w:rPr>
        <w:t>في ناحوم 1: 11 نتقابل مع ذلك الرجل الذي يذكره الأنبياء كثيرًا، الأشوري، المتفكر بالشر على الرب. عدد 12 غامض، غير أني أعتقد بأنه يُشير إلى إسرائيل. إن إسرائيل أيضًا، عندما ستفتخر في روح العالم بأمانها وقوتها، فسوف تحتمل غزو العدو، غمارة المياه العظيمة، سوط الله. ولكن إن اجتاح الأرض (أي إسرائيل) فستُجَز جزًا</w:t>
      </w:r>
      <w:r w:rsidR="00663977">
        <w:rPr>
          <w:rStyle w:val="FootnoteReference"/>
          <w:rtl/>
          <w:lang w:bidi="ar-AE"/>
        </w:rPr>
        <w:footnoteReference w:id="2"/>
      </w:r>
      <w:r>
        <w:rPr>
          <w:rFonts w:hint="cs"/>
          <w:rtl/>
          <w:lang w:bidi="ar-AE"/>
        </w:rPr>
        <w:t xml:space="preserve"> (قارن أشعياء 28: 18، 19؛ 14، 25).</w:t>
      </w:r>
      <w:r w:rsidR="00663977">
        <w:rPr>
          <w:rFonts w:hint="cs"/>
          <w:rtl/>
          <w:lang w:bidi="ar-AE"/>
        </w:rPr>
        <w:t xml:space="preserve"> ولكن مع سوط الله تصل الدينونة إلى نهايتها، و، كما يوضّح النبي، ستتحرر إسرائيل بكاملها وإلى الأبد (قارن أشعياء 10: 5، 24، 25). نير الأشوري سيتحطم عبر كل الأزمنة وسلطة العالم المعادية المتكبرة ستبيد أيضًا، كما كان قد حدث في الماضي على فساد المسيحية</w:t>
      </w:r>
      <w:r w:rsidR="004D67C9">
        <w:rPr>
          <w:rFonts w:hint="cs"/>
          <w:rtl/>
          <w:lang w:bidi="ar-AE"/>
        </w:rPr>
        <w:t xml:space="preserve"> المضادة</w:t>
      </w:r>
      <w:r w:rsidR="00663977">
        <w:rPr>
          <w:rFonts w:hint="cs"/>
          <w:rtl/>
          <w:lang w:bidi="ar-AE"/>
        </w:rPr>
        <w:t xml:space="preserve"> والتعظّم على الدينونة. </w:t>
      </w:r>
      <w:r w:rsidR="004D67C9">
        <w:rPr>
          <w:rFonts w:hint="cs"/>
          <w:rtl/>
          <w:lang w:bidi="ar-SA"/>
        </w:rPr>
        <w:t xml:space="preserve">وستنتشر البشارة السارة عن ملء الخلاص في كل مكان، ويهوذا ستعيّد أعيادها </w:t>
      </w:r>
      <w:hyperlink r:id="rId8" w:anchor=":~:text=Es%20ist%20mir%20unzweifelhaft" w:history="1">
        <w:r w:rsidR="004D67C9" w:rsidRPr="0048345E">
          <w:rPr>
            <w:rStyle w:val="Hyperlink"/>
            <w:rFonts w:hint="cs"/>
            <w:rtl/>
            <w:lang w:bidi="ar-SA"/>
          </w:rPr>
          <w:t>بسلام</w:t>
        </w:r>
      </w:hyperlink>
      <w:r w:rsidR="004D67C9">
        <w:rPr>
          <w:rFonts w:hint="cs"/>
          <w:rtl/>
          <w:lang w:bidi="ar-SA"/>
        </w:rPr>
        <w:t>.</w:t>
      </w:r>
    </w:p>
    <w:sectPr w:rsidR="00A91526"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947C5" w14:textId="77777777" w:rsidR="00213661" w:rsidRDefault="00213661" w:rsidP="00D97BB2">
      <w:pPr>
        <w:spacing w:after="0" w:line="240" w:lineRule="auto"/>
      </w:pPr>
      <w:r>
        <w:separator/>
      </w:r>
    </w:p>
  </w:endnote>
  <w:endnote w:type="continuationSeparator" w:id="0">
    <w:p w14:paraId="43B820DE" w14:textId="77777777" w:rsidR="00213661" w:rsidRDefault="00213661" w:rsidP="00D97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BAACC" w14:textId="77777777" w:rsidR="00213661" w:rsidRDefault="00213661" w:rsidP="00D97BB2">
      <w:pPr>
        <w:spacing w:after="0" w:line="240" w:lineRule="auto"/>
      </w:pPr>
      <w:r>
        <w:separator/>
      </w:r>
    </w:p>
  </w:footnote>
  <w:footnote w:type="continuationSeparator" w:id="0">
    <w:p w14:paraId="611F294F" w14:textId="77777777" w:rsidR="00213661" w:rsidRDefault="00213661" w:rsidP="00D97BB2">
      <w:pPr>
        <w:spacing w:after="0" w:line="240" w:lineRule="auto"/>
      </w:pPr>
      <w:r>
        <w:continuationSeparator/>
      </w:r>
    </w:p>
  </w:footnote>
  <w:footnote w:id="1">
    <w:p w14:paraId="04991E22" w14:textId="77777777" w:rsidR="00D97BB2" w:rsidRPr="00D97BB2" w:rsidRDefault="00D97BB2" w:rsidP="00D97BB2">
      <w:pPr>
        <w:pStyle w:val="FootnoteText"/>
        <w:jc w:val="both"/>
        <w:rPr>
          <w:b/>
          <w:bCs/>
          <w:sz w:val="26"/>
          <w:szCs w:val="26"/>
        </w:rPr>
      </w:pPr>
      <w:r>
        <w:rPr>
          <w:rStyle w:val="FootnoteReference"/>
        </w:rPr>
        <w:footnoteRef/>
      </w:r>
      <w:r>
        <w:rPr>
          <w:rtl/>
        </w:rPr>
        <w:t xml:space="preserve"> </w:t>
      </w:r>
    </w:p>
  </w:footnote>
  <w:footnote w:id="2">
    <w:p w14:paraId="0125BAAC" w14:textId="77777777" w:rsidR="00663977" w:rsidRPr="00663977" w:rsidRDefault="00663977" w:rsidP="00663977">
      <w:pPr>
        <w:pStyle w:val="FootnoteText"/>
        <w:jc w:val="both"/>
        <w:rPr>
          <w:b/>
          <w:bCs/>
          <w:sz w:val="26"/>
          <w:szCs w:val="26"/>
          <w:rtl/>
          <w:lang w:bidi="ar-AE"/>
        </w:rPr>
      </w:pPr>
      <w:r>
        <w:rPr>
          <w:rStyle w:val="FootnoteReference"/>
        </w:rPr>
        <w:footnoteRef/>
      </w:r>
      <w:r>
        <w:rPr>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53E"/>
    <w:rsid w:val="000C5A11"/>
    <w:rsid w:val="000E304B"/>
    <w:rsid w:val="00167EF4"/>
    <w:rsid w:val="00213661"/>
    <w:rsid w:val="00254CD5"/>
    <w:rsid w:val="003056E7"/>
    <w:rsid w:val="00397E66"/>
    <w:rsid w:val="003D76B4"/>
    <w:rsid w:val="0048345E"/>
    <w:rsid w:val="004D67C9"/>
    <w:rsid w:val="004E2AB7"/>
    <w:rsid w:val="00663977"/>
    <w:rsid w:val="00813FD0"/>
    <w:rsid w:val="008B022C"/>
    <w:rsid w:val="00A91526"/>
    <w:rsid w:val="00AB3902"/>
    <w:rsid w:val="00BA192E"/>
    <w:rsid w:val="00C442EF"/>
    <w:rsid w:val="00CE6856"/>
    <w:rsid w:val="00D07B67"/>
    <w:rsid w:val="00D97BB2"/>
    <w:rsid w:val="00F3453E"/>
    <w:rsid w:val="00FA4A64"/>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582B"/>
  <w15:chartTrackingRefBased/>
  <w15:docId w15:val="{7F3F41B3-4F8F-4307-8B75-89E5DDA33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453E"/>
    <w:rPr>
      <w:color w:val="0563C1" w:themeColor="hyperlink"/>
      <w:u w:val="single"/>
    </w:rPr>
  </w:style>
  <w:style w:type="character" w:styleId="UnresolvedMention">
    <w:name w:val="Unresolved Mention"/>
    <w:basedOn w:val="DefaultParagraphFont"/>
    <w:uiPriority w:val="99"/>
    <w:semiHidden/>
    <w:unhideWhenUsed/>
    <w:rsid w:val="00F3453E"/>
    <w:rPr>
      <w:color w:val="605E5C"/>
      <w:shd w:val="clear" w:color="auto" w:fill="E1DFDD"/>
    </w:rPr>
  </w:style>
  <w:style w:type="paragraph" w:styleId="FootnoteText">
    <w:name w:val="footnote text"/>
    <w:basedOn w:val="Normal"/>
    <w:link w:val="FootnoteTextChar"/>
    <w:uiPriority w:val="99"/>
    <w:semiHidden/>
    <w:unhideWhenUsed/>
    <w:rsid w:val="00D97BB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7BB2"/>
    <w:rPr>
      <w:noProof/>
      <w:sz w:val="20"/>
      <w:szCs w:val="20"/>
      <w:lang w:bidi="ar-EG"/>
    </w:rPr>
  </w:style>
  <w:style w:type="character" w:styleId="FootnoteReference">
    <w:name w:val="footnote reference"/>
    <w:basedOn w:val="DefaultParagraphFont"/>
    <w:uiPriority w:val="99"/>
    <w:semiHidden/>
    <w:unhideWhenUsed/>
    <w:rsid w:val="00D97BB2"/>
    <w:rPr>
      <w:vertAlign w:val="superscript"/>
    </w:rPr>
  </w:style>
  <w:style w:type="character" w:styleId="FollowedHyperlink">
    <w:name w:val="FollowedHyperlink"/>
    <w:basedOn w:val="DefaultParagraphFont"/>
    <w:uiPriority w:val="99"/>
    <w:semiHidden/>
    <w:unhideWhenUsed/>
    <w:rsid w:val="004D67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69/betrachtung-ueber-den-propheten-nahum-synopsis" TargetMode="External"/><Relationship Id="rId3" Type="http://schemas.openxmlformats.org/officeDocument/2006/relationships/settings" Target="settings.xml"/><Relationship Id="rId7" Type="http://schemas.openxmlformats.org/officeDocument/2006/relationships/hyperlink" Target="https://www.bibelkommentare.de/kommentare/69/betrachtung-ueber-den-propheten-nahum-synopsi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FF582-6E1D-4C75-A87A-ED84A9498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12</cp:revision>
  <dcterms:created xsi:type="dcterms:W3CDTF">2021-11-01T07:11:00Z</dcterms:created>
  <dcterms:modified xsi:type="dcterms:W3CDTF">2022-11-15T06:36:00Z</dcterms:modified>
</cp:coreProperties>
</file>