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94E7E" w14:textId="16CDB99A" w:rsidR="00AF6FE2" w:rsidRDefault="00BC155B">
      <w:pPr>
        <w:rPr>
          <w:rtl/>
          <w:lang w:bidi="ar-SA"/>
        </w:rPr>
      </w:pPr>
      <w:hyperlink r:id="rId4" w:history="1">
        <w:r w:rsidRPr="00BC155B">
          <w:rPr>
            <w:rStyle w:val="Hyperlink"/>
            <w:rtl/>
            <w:lang w:bidi="ar-SA"/>
          </w:rPr>
          <w:t>من مصر إلى كنعان - لغة العهد القديم المصوّرة</w:t>
        </w:r>
      </w:hyperlink>
    </w:p>
    <w:p w14:paraId="07D33500" w14:textId="2F38A8F6" w:rsidR="00BC155B" w:rsidRDefault="00BC155B" w:rsidP="00BC155B">
      <w:pPr>
        <w:bidi w:val="0"/>
        <w:rPr>
          <w:rtl/>
          <w:lang w:bidi="ar-SA"/>
        </w:rPr>
      </w:pPr>
      <w:r w:rsidRPr="00BC155B">
        <w:rPr>
          <w:lang w:bidi="ar-SA"/>
        </w:rPr>
        <w:t>Manuel Seibel</w:t>
      </w:r>
    </w:p>
    <w:p w14:paraId="1806BD27" w14:textId="51D76CBB" w:rsidR="00BC155B" w:rsidRDefault="00BC155B">
      <w:pPr>
        <w:rPr>
          <w:rtl/>
          <w:lang w:bidi="ar-SA"/>
        </w:rPr>
      </w:pPr>
      <w:r>
        <w:rPr>
          <w:rFonts w:hint="cs"/>
          <w:rtl/>
          <w:lang w:bidi="ar-SA"/>
        </w:rPr>
        <w:t>1. كورنثوس 10: 6، 11؛ رومية 15: 4</w:t>
      </w:r>
    </w:p>
    <w:p w14:paraId="6950FFDE" w14:textId="37E425D6" w:rsidR="00BC155B" w:rsidRDefault="00BC155B">
      <w:pPr>
        <w:rPr>
          <w:rtl/>
          <w:lang w:bidi="ar-SA"/>
        </w:rPr>
      </w:pPr>
      <w:r w:rsidRPr="00BC155B">
        <w:rPr>
          <w:rtl/>
          <w:lang w:bidi="ar-SA"/>
        </w:rPr>
        <w:t>1. كورنثوس 10: 6</w:t>
      </w:r>
      <w:r>
        <w:rPr>
          <w:rFonts w:hint="cs"/>
          <w:rtl/>
          <w:lang w:bidi="ar-SA"/>
        </w:rPr>
        <w:t>، 11: "</w:t>
      </w:r>
      <w:r w:rsidRPr="00BC155B">
        <w:rPr>
          <w:rtl/>
          <w:lang w:bidi="ar-SA"/>
        </w:rPr>
        <w:t xml:space="preserve">هذِهِ الأُمُورُ حَدَثَتْ مِثَالاً لَنَا، حَتَّى لاَ نَكُونَ نَحْنُ مُشْتَهِينَ شُرُورًا كَمَا اشْتَهَى أُولئِكَ. </w:t>
      </w:r>
      <w:r>
        <w:rPr>
          <w:rFonts w:hint="cs"/>
          <w:rtl/>
          <w:lang w:bidi="ar-SA"/>
        </w:rPr>
        <w:t xml:space="preserve">... </w:t>
      </w:r>
      <w:r w:rsidRPr="00BC155B">
        <w:rPr>
          <w:rFonts w:ascii="Arial" w:hAnsi="Arial" w:cs="Arial" w:hint="cs"/>
          <w:rtl/>
          <w:lang w:bidi="ar-SA"/>
        </w:rPr>
        <w:t>​</w:t>
      </w:r>
      <w:r w:rsidRPr="00BC155B">
        <w:rPr>
          <w:rFonts w:hint="cs"/>
          <w:rtl/>
          <w:lang w:bidi="ar-SA"/>
        </w:rPr>
        <w:t>فَهذِهِ</w:t>
      </w:r>
      <w:r w:rsidRPr="00BC155B">
        <w:rPr>
          <w:rtl/>
          <w:lang w:bidi="ar-SA"/>
        </w:rPr>
        <w:t xml:space="preserve"> </w:t>
      </w:r>
      <w:r w:rsidRPr="00BC155B">
        <w:rPr>
          <w:rFonts w:hint="cs"/>
          <w:rtl/>
          <w:lang w:bidi="ar-SA"/>
        </w:rPr>
        <w:t>الأُمُورُ</w:t>
      </w:r>
      <w:r w:rsidRPr="00BC155B">
        <w:rPr>
          <w:rtl/>
          <w:lang w:bidi="ar-SA"/>
        </w:rPr>
        <w:t xml:space="preserve"> </w:t>
      </w:r>
      <w:r w:rsidRPr="00BC155B">
        <w:rPr>
          <w:rFonts w:hint="cs"/>
          <w:rtl/>
          <w:lang w:bidi="ar-SA"/>
        </w:rPr>
        <w:t>جَمِيعُهَا</w:t>
      </w:r>
      <w:r w:rsidRPr="00BC155B">
        <w:rPr>
          <w:rtl/>
          <w:lang w:bidi="ar-SA"/>
        </w:rPr>
        <w:t xml:space="preserve"> </w:t>
      </w:r>
      <w:r w:rsidRPr="00BC155B">
        <w:rPr>
          <w:rFonts w:hint="cs"/>
          <w:rtl/>
          <w:lang w:bidi="ar-SA"/>
        </w:rPr>
        <w:t>أَصَابَتْهُمْ</w:t>
      </w:r>
      <w:r w:rsidRPr="00BC155B">
        <w:rPr>
          <w:rtl/>
          <w:lang w:bidi="ar-SA"/>
        </w:rPr>
        <w:t xml:space="preserve"> </w:t>
      </w:r>
      <w:r w:rsidRPr="00BC155B">
        <w:rPr>
          <w:rFonts w:hint="cs"/>
          <w:rtl/>
          <w:lang w:bidi="ar-SA"/>
        </w:rPr>
        <w:t>مِثَالاً،</w:t>
      </w:r>
      <w:r w:rsidRPr="00BC155B">
        <w:rPr>
          <w:rtl/>
          <w:lang w:bidi="ar-SA"/>
        </w:rPr>
        <w:t xml:space="preserve"> </w:t>
      </w:r>
      <w:r w:rsidRPr="00BC155B">
        <w:rPr>
          <w:rFonts w:hint="cs"/>
          <w:rtl/>
          <w:lang w:bidi="ar-SA"/>
        </w:rPr>
        <w:t>وَكُتِبَتْ</w:t>
      </w:r>
      <w:r w:rsidRPr="00BC155B">
        <w:rPr>
          <w:rtl/>
          <w:lang w:bidi="ar-SA"/>
        </w:rPr>
        <w:t xml:space="preserve"> </w:t>
      </w:r>
      <w:r w:rsidRPr="00BC155B">
        <w:rPr>
          <w:rFonts w:hint="cs"/>
          <w:rtl/>
          <w:lang w:bidi="ar-SA"/>
        </w:rPr>
        <w:t>لإِنْذَارِنَا</w:t>
      </w:r>
      <w:r w:rsidRPr="00BC155B">
        <w:rPr>
          <w:rtl/>
          <w:lang w:bidi="ar-SA"/>
        </w:rPr>
        <w:t xml:space="preserve"> </w:t>
      </w:r>
      <w:r w:rsidRPr="00BC155B">
        <w:rPr>
          <w:rFonts w:hint="cs"/>
          <w:rtl/>
          <w:lang w:bidi="ar-SA"/>
        </w:rPr>
        <w:t>نَحْنُ</w:t>
      </w:r>
      <w:r w:rsidRPr="00BC155B">
        <w:rPr>
          <w:rtl/>
          <w:lang w:bidi="ar-SA"/>
        </w:rPr>
        <w:t xml:space="preserve"> </w:t>
      </w:r>
      <w:r w:rsidRPr="00BC155B">
        <w:rPr>
          <w:rFonts w:hint="cs"/>
          <w:rtl/>
          <w:lang w:bidi="ar-SA"/>
        </w:rPr>
        <w:t>الَّذِينَ</w:t>
      </w:r>
      <w:r w:rsidRPr="00BC155B">
        <w:rPr>
          <w:rtl/>
          <w:lang w:bidi="ar-SA"/>
        </w:rPr>
        <w:t xml:space="preserve"> </w:t>
      </w:r>
      <w:r w:rsidRPr="00BC155B">
        <w:rPr>
          <w:rFonts w:hint="cs"/>
          <w:rtl/>
          <w:lang w:bidi="ar-SA"/>
        </w:rPr>
        <w:t>انْتَهَتْ</w:t>
      </w:r>
      <w:r w:rsidRPr="00BC155B">
        <w:rPr>
          <w:rtl/>
          <w:lang w:bidi="ar-SA"/>
        </w:rPr>
        <w:t xml:space="preserve"> </w:t>
      </w:r>
      <w:r w:rsidRPr="00BC155B">
        <w:rPr>
          <w:rFonts w:hint="cs"/>
          <w:rtl/>
          <w:lang w:bidi="ar-SA"/>
        </w:rPr>
        <w:t>إِلَيْنَا</w:t>
      </w:r>
      <w:r w:rsidRPr="00BC155B">
        <w:rPr>
          <w:rtl/>
          <w:lang w:bidi="ar-SA"/>
        </w:rPr>
        <w:t xml:space="preserve"> </w:t>
      </w:r>
      <w:r w:rsidRPr="00BC155B">
        <w:rPr>
          <w:rFonts w:hint="cs"/>
          <w:rtl/>
          <w:lang w:bidi="ar-SA"/>
        </w:rPr>
        <w:t>أَوَاخِرُ</w:t>
      </w:r>
      <w:r w:rsidRPr="00BC155B">
        <w:rPr>
          <w:rtl/>
          <w:lang w:bidi="ar-SA"/>
        </w:rPr>
        <w:t xml:space="preserve"> </w:t>
      </w:r>
      <w:r w:rsidRPr="00BC155B">
        <w:rPr>
          <w:rFonts w:hint="cs"/>
          <w:rtl/>
          <w:lang w:bidi="ar-SA"/>
        </w:rPr>
        <w:t>الدُّهُورِ</w:t>
      </w:r>
      <w:r w:rsidRPr="00BC155B">
        <w:rPr>
          <w:rtl/>
          <w:lang w:bidi="ar-SA"/>
        </w:rPr>
        <w:t>.</w:t>
      </w:r>
      <w:r>
        <w:rPr>
          <w:rFonts w:hint="cs"/>
          <w:rtl/>
          <w:lang w:bidi="ar-SA"/>
        </w:rPr>
        <w:t>"</w:t>
      </w:r>
    </w:p>
    <w:p w14:paraId="1041A364" w14:textId="7E77BAE7" w:rsidR="00BC155B" w:rsidRDefault="00BC155B">
      <w:pPr>
        <w:rPr>
          <w:rtl/>
          <w:lang w:bidi="ar-SA"/>
        </w:rPr>
      </w:pPr>
      <w:r w:rsidRPr="00BC155B">
        <w:rPr>
          <w:rtl/>
          <w:lang w:bidi="ar-SA"/>
        </w:rPr>
        <w:t>رومية 15: 4</w:t>
      </w:r>
      <w:r>
        <w:rPr>
          <w:rFonts w:hint="cs"/>
          <w:rtl/>
          <w:lang w:bidi="ar-SA"/>
        </w:rPr>
        <w:t>: "</w:t>
      </w:r>
      <w:r w:rsidRPr="00BC155B">
        <w:rPr>
          <w:rtl/>
        </w:rPr>
        <w:t xml:space="preserve"> </w:t>
      </w:r>
      <w:r w:rsidRPr="00BC155B">
        <w:rPr>
          <w:rtl/>
          <w:lang w:bidi="ar-SA"/>
        </w:rPr>
        <w:t>لأَنَّ كُلَّ مَا سَبَقَ فَكُتِبَ كُتِبَ لأَجْلِ تَعْلِيمِنَا، حَتَّى بِالصَّبْرِ وَالتَّعْزِيَةِ بِمَا فِي الْكُتُبِ يَكُونُ لَنَا رَجَاءٌ.</w:t>
      </w:r>
      <w:r>
        <w:rPr>
          <w:rFonts w:hint="cs"/>
          <w:rtl/>
          <w:lang w:bidi="ar-SA"/>
        </w:rPr>
        <w:t>"</w:t>
      </w:r>
    </w:p>
    <w:p w14:paraId="043BBA65" w14:textId="5695328D" w:rsidR="00BC155B" w:rsidRDefault="00BC155B">
      <w:pPr>
        <w:rPr>
          <w:rtl/>
          <w:lang w:bidi="ar-SA"/>
        </w:rPr>
      </w:pPr>
      <w:r>
        <w:rPr>
          <w:rFonts w:hint="cs"/>
          <w:rtl/>
          <w:lang w:bidi="ar-SA"/>
        </w:rPr>
        <w:t>مقدمة</w:t>
      </w:r>
    </w:p>
    <w:p w14:paraId="72CB708E" w14:textId="57A0563A" w:rsidR="00BC155B" w:rsidRDefault="00BC155B">
      <w:pPr>
        <w:rPr>
          <w:rtl/>
          <w:lang w:bidi="ar-SA"/>
        </w:rPr>
      </w:pPr>
      <w:r>
        <w:rPr>
          <w:rFonts w:hint="cs"/>
          <w:rtl/>
          <w:lang w:bidi="ar-SA"/>
        </w:rPr>
        <w:t>لقد تمت الملاحظة كثيرًا بأننا في العهد الجديد بارتباطه بالأناجيل وأعمال الرسل</w:t>
      </w:r>
      <w:r w:rsidRPr="00BC155B">
        <w:rPr>
          <w:rtl/>
        </w:rPr>
        <w:t xml:space="preserve"> </w:t>
      </w:r>
      <w:r w:rsidRPr="00BC155B">
        <w:rPr>
          <w:rtl/>
          <w:lang w:bidi="ar-SA"/>
        </w:rPr>
        <w:t>نجد</w:t>
      </w:r>
      <w:r>
        <w:rPr>
          <w:rFonts w:hint="cs"/>
          <w:rtl/>
          <w:lang w:bidi="ar-SA"/>
        </w:rPr>
        <w:t xml:space="preserve"> </w:t>
      </w:r>
      <w:r w:rsidRPr="00BC155B">
        <w:rPr>
          <w:rtl/>
          <w:lang w:bidi="ar-SA"/>
        </w:rPr>
        <w:t>بصورة خاصة</w:t>
      </w:r>
      <w:r w:rsidRPr="00BC155B">
        <w:rPr>
          <w:rFonts w:hint="cs"/>
          <w:rtl/>
          <w:lang w:bidi="ar-SA"/>
        </w:rPr>
        <w:t xml:space="preserve"> </w:t>
      </w:r>
      <w:r>
        <w:rPr>
          <w:rFonts w:hint="cs"/>
          <w:rtl/>
          <w:lang w:bidi="ar-SA"/>
        </w:rPr>
        <w:t>التعليم المسيحي. فالعهد القديم يرينا بالمقابل بالدرجة الأولى تاريخ الإنسان وشعب إسرائيل. لكن هل هذا هو المغزى العميق من العهد القديم؟ بالتأكيد لا. الله فعلاً لا يريد فقط بأن يرينا مجريات التاريخ (الخليقة، قيام إسرائيل، اتساع المملكة إلخ). إنه يرينا أكثر من ذلك بكثير. إنه ليس صدفة أن أحدهم قال بأن العهد القديم هو الكتاب المصوّر لتعليم العهد الجديد.</w:t>
      </w:r>
    </w:p>
    <w:p w14:paraId="7EEB35C1" w14:textId="5EFDBC01" w:rsidR="00BC155B" w:rsidRDefault="00BC155B">
      <w:pPr>
        <w:rPr>
          <w:rtl/>
          <w:lang w:bidi="ar-SA"/>
        </w:rPr>
      </w:pPr>
      <w:r>
        <w:rPr>
          <w:rFonts w:hint="cs"/>
          <w:rtl/>
          <w:lang w:bidi="ar-SA"/>
        </w:rPr>
        <w:t xml:space="preserve">غير أن  ما يرينا إياه العهد القديم عادةً ليس صورة عن </w:t>
      </w:r>
      <w:r w:rsidR="00F36928">
        <w:rPr>
          <w:rFonts w:hint="cs"/>
          <w:rtl/>
          <w:lang w:bidi="ar-SA"/>
        </w:rPr>
        <w:t>مكانة المسيحي في العهد الجديد. إنه يُظهر لنا كيف نحقق ونحيا هذه المكانة عمليًا. إن التصريح في تفسير هذا الجزء من الكتاب بهذا الأسلوب نجده في أجزاء كثيرة من العهد الجديد. في رومية 15: 4 نتعلم، بأن صبر ومثابرة مؤمني العهد القديم يشجعانا بأن نتمثّل بما فعلوه.</w:t>
      </w:r>
    </w:p>
    <w:p w14:paraId="095C5DDE" w14:textId="61D041A4" w:rsidR="00F36928" w:rsidRDefault="00F36928">
      <w:pPr>
        <w:rPr>
          <w:rtl/>
          <w:lang w:bidi="ar-SA"/>
        </w:rPr>
      </w:pPr>
      <w:r>
        <w:rPr>
          <w:rFonts w:hint="cs"/>
          <w:rtl/>
          <w:lang w:bidi="ar-SA"/>
        </w:rPr>
        <w:t>في 1. كورنثوس 10: 6، 11 يقول لنا بأن أحداث العهد القديم لها معاني في العهد الجديد. فهي صور عن حق العهد الجديد. هذا ما نريد أن نفهمه بصورة صحيحة بالنظر إلى محطّات مهمة في رحلة إسرائيل وهم خارجين من مصر إلى أن وصلوا كنعان، التي تقدّم إشارات مصورة عن تحرير المسيحي من طبيعته.</w:t>
      </w:r>
    </w:p>
    <w:p w14:paraId="12B3CD6A" w14:textId="0CDC75A4" w:rsidR="00F36928" w:rsidRDefault="00F36928">
      <w:pPr>
        <w:rPr>
          <w:rtl/>
          <w:lang w:bidi="ar-SA"/>
        </w:rPr>
      </w:pPr>
      <w:r>
        <w:rPr>
          <w:rFonts w:hint="cs"/>
          <w:rtl/>
          <w:lang w:bidi="ar-SA"/>
        </w:rPr>
        <w:t xml:space="preserve">مصر </w:t>
      </w:r>
      <w:r>
        <w:rPr>
          <w:rtl/>
          <w:lang w:bidi="ar-SA"/>
        </w:rPr>
        <w:t>–</w:t>
      </w:r>
      <w:r>
        <w:rPr>
          <w:rFonts w:hint="cs"/>
          <w:rtl/>
          <w:lang w:bidi="ar-SA"/>
        </w:rPr>
        <w:t xml:space="preserve"> صورة للعالم كنظام إبليس</w:t>
      </w:r>
    </w:p>
    <w:p w14:paraId="2540C268" w14:textId="6B68D2AF" w:rsidR="00F36928" w:rsidRDefault="00F36928">
      <w:pPr>
        <w:rPr>
          <w:rtl/>
          <w:lang w:bidi="ar-SA"/>
        </w:rPr>
      </w:pPr>
      <w:r>
        <w:rPr>
          <w:rFonts w:hint="cs"/>
          <w:rtl/>
          <w:lang w:bidi="ar-SA"/>
        </w:rPr>
        <w:t xml:space="preserve">شعب إسرائيل كان مستعبد في مصر كما نقرأ في بداية سفر الخروج. هذا الحكم حكمه حاكم مصر: فرعون. هذه العبودية لم يكن باستطاعة الشعب أن يتحرر منها بنفسه. </w:t>
      </w:r>
    </w:p>
    <w:p w14:paraId="2F3A7202" w14:textId="411349F5" w:rsidR="00F36928" w:rsidRDefault="00F36928">
      <w:pPr>
        <w:rPr>
          <w:rtl/>
          <w:lang w:bidi="ar-SA"/>
        </w:rPr>
      </w:pPr>
      <w:r>
        <w:rPr>
          <w:rFonts w:hint="cs"/>
          <w:rtl/>
          <w:lang w:bidi="ar-SA"/>
        </w:rPr>
        <w:t xml:space="preserve">فكما أن الشعب في ذلك الحين كان مستعبدًا لهذه البلاد ولفرعون، </w:t>
      </w:r>
      <w:r w:rsidR="00706A52">
        <w:rPr>
          <w:rFonts w:hint="cs"/>
          <w:rtl/>
          <w:lang w:bidi="ar-SA"/>
        </w:rPr>
        <w:t>هكذا كل إنسان اليوم موجود تحت حكم العالم وإبليس. إبليس أقام هنا نظام باعتباره سيّد، رئيس وإله (قارن يوحنا 16: 11؛ 2. كورنثوس 4: 4). هذا النظام يستأسر الإنسان ويودي به إلى الموت الأبدي إن لم يكن قد تحرر منه قبل ذلك (غلاطية 1: 4).</w:t>
      </w:r>
    </w:p>
    <w:p w14:paraId="25583CF8" w14:textId="0DA1FB59" w:rsidR="00706A52" w:rsidRDefault="00706A52">
      <w:pPr>
        <w:rPr>
          <w:rtl/>
          <w:lang w:bidi="ar-SA"/>
        </w:rPr>
      </w:pPr>
      <w:r>
        <w:rPr>
          <w:rFonts w:hint="cs"/>
          <w:rtl/>
          <w:lang w:bidi="ar-SA"/>
        </w:rPr>
        <w:t>نوال الحرية من مصر بواسطة الفصح والبحر الأحمر</w:t>
      </w:r>
    </w:p>
    <w:p w14:paraId="610F67E3" w14:textId="2CD274DC" w:rsidR="00706A52" w:rsidRDefault="00706A52">
      <w:pPr>
        <w:rPr>
          <w:rtl/>
          <w:lang w:bidi="ar-SA"/>
        </w:rPr>
      </w:pPr>
      <w:r>
        <w:rPr>
          <w:rFonts w:hint="cs"/>
          <w:rtl/>
          <w:lang w:bidi="ar-SA"/>
        </w:rPr>
        <w:t>الله خلّص شعب غسرائيل من مصر بوساطتين: أولاً مات حمل عن كل بيت في إسرائيل، بحيث أن كل أبكار الشعب نالوا الحِمى من دينونة الله. ولكن في ذلك لم يكن بنو إسرائيل قد نالوا حريتهم من مصر. فلقد كان ينبغي عليهم أيضًا أن يجتازوا البحر الأحمر ليتركوا هذه البلاد ونطاق حكمها.</w:t>
      </w:r>
    </w:p>
    <w:p w14:paraId="6434B154" w14:textId="30254D2C" w:rsidR="00706A52" w:rsidRDefault="00706A52">
      <w:pPr>
        <w:rPr>
          <w:rtl/>
          <w:lang w:bidi="ar-SA"/>
        </w:rPr>
      </w:pPr>
      <w:r>
        <w:rPr>
          <w:rFonts w:hint="cs"/>
          <w:rtl/>
          <w:lang w:bidi="ar-SA"/>
        </w:rPr>
        <w:t>هذان الحدثان لهما معنى روحي: فكما أنه كان ينبغي أن يموت حمل عن كل بكر في إسرائيل، فلقد مات الرب يسوع نيابة عن كل إنسان يرجع ويتوب إليه (قارن 1. كورنثوس 5: 7). عليه وقع عقاب خطايانا. ومن خلال أنه تكفّل بنفسه هذه الدينونة هكذا يخلص جميع مَن تقبّلوا موت المسيح</w:t>
      </w:r>
      <w:r w:rsidRPr="00706A52">
        <w:rPr>
          <w:rtl/>
        </w:rPr>
        <w:t xml:space="preserve"> </w:t>
      </w:r>
      <w:r w:rsidRPr="00706A52">
        <w:rPr>
          <w:rtl/>
          <w:lang w:bidi="ar-SA"/>
        </w:rPr>
        <w:t>على أنفسهم</w:t>
      </w:r>
      <w:r w:rsidR="00420D58">
        <w:rPr>
          <w:rFonts w:hint="cs"/>
          <w:rtl/>
          <w:lang w:bidi="ar-SA"/>
        </w:rPr>
        <w:t xml:space="preserve"> من عقاب الله الأبدي (قارن مرقس 10: 45؛ 2. كورنثوس 5: 21).</w:t>
      </w:r>
    </w:p>
    <w:p w14:paraId="1E97ED27" w14:textId="426F52D8" w:rsidR="00420D58" w:rsidRDefault="00420D58" w:rsidP="00420D58">
      <w:pPr>
        <w:rPr>
          <w:rtl/>
          <w:lang w:bidi="ar-SA"/>
        </w:rPr>
      </w:pPr>
      <w:r>
        <w:rPr>
          <w:rFonts w:hint="cs"/>
          <w:rtl/>
          <w:lang w:bidi="ar-SA"/>
        </w:rPr>
        <w:t>إن الله قد انتشلنا نحن أيضًا من هذا العالم (قارن غلاطية 1: 4). يقول بولس: "</w:t>
      </w:r>
      <w:r w:rsidRPr="00420D58">
        <w:rPr>
          <w:rtl/>
        </w:rPr>
        <w:t xml:space="preserve"> </w:t>
      </w:r>
      <w:r w:rsidRPr="00420D58">
        <w:rPr>
          <w:rtl/>
          <w:lang w:bidi="ar-SA"/>
        </w:rPr>
        <w:t>رَبِّنَا يَسُوعَ الْمَسِيحِ، الَّذِي بِهِ قَدْ صُلِبَ الْعَالَمُ لِي وَأَنَا لِلْعَالَمِ.</w:t>
      </w:r>
      <w:r>
        <w:rPr>
          <w:rFonts w:hint="cs"/>
          <w:rtl/>
          <w:lang w:bidi="ar-SA"/>
        </w:rPr>
        <w:t>" (غلاطية 6: 14). كيف من الممكن أن يكون هذا؟ "</w:t>
      </w:r>
      <w:r>
        <w:rPr>
          <w:rtl/>
          <w:lang w:bidi="ar-SA"/>
        </w:rPr>
        <w:t xml:space="preserve">  3أَمْ تَجْهَلُونَ أَنَّنَا كُلَّ مَنِ اعْتَمَدَ لِيَسُوعَ الْمَسِيحِ اعْتَمَدْنَا لِمَوْتِهِ،  4فَدُفِنَّا مَعَهُ بِالْمَعْمُودِيَّةِ لِلْمَوْتِ، حَتَّى كَمَا أُقِيمَ الْمَسِيحُ مِنَ الأَمْوَاتِ، بِمَجْدِ الآبِ، هكَذَا نَسْلُكُ نَحْنُ أَيْضًا فِي جِدَّةِ الْحَيَاةِ؟  5لأَنَّهُ إِنْ كُنَّا قَدْ صِرْنَا مُتَّحِدِينَ مَعَهُ بِشِبْهِ مَوْتِهِ، نَصِيرُ أَيْضًا بِقِيَامَتِهِ. </w:t>
      </w:r>
      <w:r>
        <w:rPr>
          <w:rFonts w:hint="cs"/>
          <w:rtl/>
          <w:lang w:bidi="ar-SA"/>
        </w:rPr>
        <w:t>...</w:t>
      </w:r>
      <w:r>
        <w:rPr>
          <w:rtl/>
          <w:lang w:bidi="ar-SA"/>
        </w:rPr>
        <w:t xml:space="preserve"> كَذلِكَ أَنْتُمْ أَيْضًا احْسِبُوا أَنْفُسَكُمْ أَمْوَاتًا عَنِ الْخَطِيَّةِ، وَلكِنْ أَحْيَاءً ِللهِ بِالْمَسِيحِ يَسُوعَ رَبِّنَا.</w:t>
      </w:r>
      <w:r>
        <w:rPr>
          <w:rFonts w:hint="cs"/>
          <w:rtl/>
          <w:lang w:bidi="ar-SA"/>
        </w:rPr>
        <w:t xml:space="preserve">" (رومية 6: 3 </w:t>
      </w:r>
      <w:r>
        <w:rPr>
          <w:rtl/>
          <w:lang w:bidi="ar-SA"/>
        </w:rPr>
        <w:t>–</w:t>
      </w:r>
      <w:r>
        <w:rPr>
          <w:rFonts w:hint="cs"/>
          <w:rtl/>
          <w:lang w:bidi="ar-SA"/>
        </w:rPr>
        <w:t xml:space="preserve"> 5، 11). حينما اجتاز شعب إسرائيل البحر الأحمر فكأنه اختفى عن سطح المياه كما هو يحدث أيضًا مع المعتمد والمدفون: إننا لا نعود نراهم. هكذا يكلمنا عبور البحر الأحمر صوريًا عن موتنا مع المسيح.</w:t>
      </w:r>
    </w:p>
    <w:p w14:paraId="39EC69AC" w14:textId="58347FA1" w:rsidR="00420D58" w:rsidRDefault="00420D58" w:rsidP="00420D58">
      <w:pPr>
        <w:rPr>
          <w:rtl/>
          <w:lang w:bidi="ar-SA"/>
        </w:rPr>
      </w:pPr>
      <w:r>
        <w:rPr>
          <w:rFonts w:hint="cs"/>
          <w:rtl/>
          <w:lang w:bidi="ar-SA"/>
        </w:rPr>
        <w:t>لقد مات المسيح. لكنه ليس فقط أنه مات كنائب عنا. إن موته كان في ذات الوقت موتنا نحن (رومية 6: 5). إننا متنا معه حينما تعلّق آنذاك على الصليب: هذا ما يراه الله وهكذا نعترف به نحن بمعموديتنا. والآن الأمر متعلّق بنا بأن نحقق ونعيش هذه الحقيقة أيضًا. هذا ما يُريه عبور البحر الأحمر</w:t>
      </w:r>
      <w:r w:rsidR="009F6FA2">
        <w:rPr>
          <w:rFonts w:hint="cs"/>
          <w:rtl/>
          <w:lang w:bidi="ar-SA"/>
        </w:rPr>
        <w:t>.</w:t>
      </w:r>
    </w:p>
    <w:p w14:paraId="7C35648D" w14:textId="5B11749D" w:rsidR="009F6FA2" w:rsidRDefault="009F6FA2" w:rsidP="009F6FA2">
      <w:pPr>
        <w:rPr>
          <w:rtl/>
          <w:lang w:bidi="ar-SA"/>
        </w:rPr>
      </w:pPr>
      <w:r>
        <w:rPr>
          <w:rFonts w:hint="cs"/>
          <w:rtl/>
          <w:lang w:bidi="ar-SA"/>
        </w:rPr>
        <w:t>إنه لا هذا العالم الخاضع لحُكم إبليس ولا إبليس بنفسه ولا الخطية لهم إمكانية بأن يؤثروا على شخص "ميّت". فليس لهم أية سلطة عليه. فإذ أننا أموات بحسب مركزنا، فإنه ينطبق علينا أيضًا أي المؤمنون بالرب يسوع. ولكن فعلاً أننا لا زال فينا الجسد، الطبيعة العتيقة. لهذا نُطالَب في رومية 6: 11 بأن نحسب أنفسنا أموات عن الخطية.</w:t>
      </w:r>
    </w:p>
    <w:p w14:paraId="4D22B55D" w14:textId="1AEC9737" w:rsidR="009F6FA2" w:rsidRDefault="009F6FA2" w:rsidP="009F6FA2">
      <w:pPr>
        <w:rPr>
          <w:rtl/>
          <w:lang w:bidi="ar-SA"/>
        </w:rPr>
      </w:pPr>
      <w:r>
        <w:rPr>
          <w:rFonts w:hint="cs"/>
          <w:rtl/>
          <w:lang w:bidi="ar-SA"/>
        </w:rPr>
        <w:t>فما نراه إذًا هو أنه كان هنالك أمران ضروريان لنوال الحرية من سلطة وعبودية إبليس والعالم:</w:t>
      </w:r>
    </w:p>
    <w:p w14:paraId="08B733E8" w14:textId="146551E5" w:rsidR="009F6FA2" w:rsidRDefault="009F6FA2" w:rsidP="009F6FA2">
      <w:pPr>
        <w:rPr>
          <w:rtl/>
          <w:lang w:bidi="ar-SA"/>
        </w:rPr>
      </w:pPr>
      <w:r>
        <w:rPr>
          <w:rFonts w:hint="cs"/>
          <w:rtl/>
          <w:lang w:bidi="ar-SA"/>
        </w:rPr>
        <w:t>1. موت المسيح، نيابة عنا.</w:t>
      </w:r>
    </w:p>
    <w:p w14:paraId="34468924" w14:textId="087F986C" w:rsidR="009F6FA2" w:rsidRDefault="009F6FA2" w:rsidP="009F6FA2">
      <w:pPr>
        <w:rPr>
          <w:rtl/>
          <w:lang w:bidi="ar-SA"/>
        </w:rPr>
      </w:pPr>
      <w:r>
        <w:rPr>
          <w:rFonts w:hint="cs"/>
          <w:rtl/>
          <w:lang w:bidi="ar-SA"/>
        </w:rPr>
        <w:t>2. موت المسيح، الذي كان موتنا نحن: نحن متنا معه.</w:t>
      </w:r>
    </w:p>
    <w:p w14:paraId="1F949DC8" w14:textId="17D1D8E3" w:rsidR="009F6FA2" w:rsidRDefault="009F6FA2" w:rsidP="009F6FA2">
      <w:pPr>
        <w:rPr>
          <w:rFonts w:hint="cs"/>
          <w:lang w:bidi="ar-SA"/>
        </w:rPr>
      </w:pPr>
      <w:r>
        <w:rPr>
          <w:rFonts w:hint="cs"/>
          <w:rtl/>
          <w:lang w:bidi="ar-SA"/>
        </w:rPr>
        <w:t xml:space="preserve">قبل أن ينال الإنسان حريته من سلطة إبليس لا بد وأن تُحلّ قضية الخطية بينه والله (الفصح). فالتحرير الفعلي هو عندها اتحاده بموت المسيح (العبور في البحر الأحمر). المسيحي عمليًا يتعرف على حريته من الخطية والعالم إن فهم هاتين النقطتين في </w:t>
      </w:r>
      <w:hyperlink r:id="rId5" w:anchor=":~:text=Leben%20erfasst%20hat.-,W%C3%BCste%20(die%20irdischen%20Umst%C3%A4nde),-%E2%80%93%20Jordan%20(Tod%20und" w:history="1">
        <w:r w:rsidRPr="00721F3A">
          <w:rPr>
            <w:rStyle w:val="Hyperlink"/>
            <w:rFonts w:hint="cs"/>
            <w:rtl/>
            <w:lang w:bidi="ar-SA"/>
          </w:rPr>
          <w:t>حياته</w:t>
        </w:r>
      </w:hyperlink>
      <w:r>
        <w:rPr>
          <w:rFonts w:hint="cs"/>
          <w:rtl/>
          <w:lang w:bidi="ar-SA"/>
        </w:rPr>
        <w:t>.</w:t>
      </w:r>
    </w:p>
    <w:sectPr w:rsidR="009F6FA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943"/>
    <w:rsid w:val="00420D58"/>
    <w:rsid w:val="00706A52"/>
    <w:rsid w:val="00721F3A"/>
    <w:rsid w:val="008E0EC1"/>
    <w:rsid w:val="009F6FA2"/>
    <w:rsid w:val="00AF6FE2"/>
    <w:rsid w:val="00BC155B"/>
    <w:rsid w:val="00E42943"/>
    <w:rsid w:val="00F3692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619B7"/>
  <w15:chartTrackingRefBased/>
  <w15:docId w15:val="{46E83BEB-33A3-4F3F-94BD-5BA7A360E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155B"/>
    <w:rPr>
      <w:color w:val="0563C1" w:themeColor="hyperlink"/>
      <w:u w:val="single"/>
    </w:rPr>
  </w:style>
  <w:style w:type="character" w:styleId="UnresolvedMention">
    <w:name w:val="Unresolved Mention"/>
    <w:basedOn w:val="DefaultParagraphFont"/>
    <w:uiPriority w:val="99"/>
    <w:semiHidden/>
    <w:unhideWhenUsed/>
    <w:rsid w:val="00BC15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594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soundwords.de/aus-aegypten-bis-nach-kanaan-die-bildersprache-des-alten-testamentes-a9257.html" TargetMode="External"/><Relationship Id="rId4" Type="http://schemas.openxmlformats.org/officeDocument/2006/relationships/hyperlink" Target="https://www.soundwords.de/aus-aegypten-bis-nach-kanaan-die-bildersprache-des-alten-testamentes-a925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738</Words>
  <Characters>4213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info sharara</cp:lastModifiedBy>
  <cp:revision>3</cp:revision>
  <dcterms:created xsi:type="dcterms:W3CDTF">2023-05-25T06:18:00Z</dcterms:created>
  <dcterms:modified xsi:type="dcterms:W3CDTF">2023-05-25T07:08:00Z</dcterms:modified>
</cp:coreProperties>
</file>