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2CC" w:themeColor="accent4" w:themeTint="33"/>
  <w:body>
    <w:p w14:paraId="5E689C75" w14:textId="4AB92E39" w:rsidR="00614739" w:rsidRPr="0084304F" w:rsidRDefault="00FD3E96" w:rsidP="0084304F">
      <w:pPr>
        <w:bidi/>
        <w:jc w:val="center"/>
        <w:rPr>
          <w:b/>
          <w:bCs/>
          <w:sz w:val="56"/>
          <w:szCs w:val="56"/>
          <w:u w:val="single"/>
          <w:rtl/>
          <w:lang w:bidi="ar-EG"/>
        </w:rPr>
      </w:pPr>
      <w:r>
        <w:rPr>
          <w:b/>
          <w:bCs/>
          <w:sz w:val="56"/>
          <w:szCs w:val="56"/>
          <w:u w:val="single"/>
          <w:rtl/>
          <w:lang w:bidi="ar-EG"/>
        </w:rPr>
        <w:fldChar w:fldCharType="begin"/>
      </w:r>
      <w:r>
        <w:rPr>
          <w:b/>
          <w:bCs/>
          <w:sz w:val="56"/>
          <w:szCs w:val="56"/>
          <w:u w:val="single"/>
          <w:rtl/>
          <w:lang w:bidi="ar-EG"/>
        </w:rPr>
        <w:instrText xml:space="preserve"> </w:instrText>
      </w:r>
      <w:r>
        <w:rPr>
          <w:b/>
          <w:bCs/>
          <w:sz w:val="56"/>
          <w:szCs w:val="56"/>
          <w:u w:val="single"/>
          <w:lang w:bidi="ar-EG"/>
        </w:rPr>
        <w:instrText>HYPERLINK</w:instrText>
      </w:r>
      <w:r>
        <w:rPr>
          <w:b/>
          <w:bCs/>
          <w:sz w:val="56"/>
          <w:szCs w:val="56"/>
          <w:u w:val="single"/>
          <w:rtl/>
          <w:lang w:bidi="ar-EG"/>
        </w:rPr>
        <w:instrText xml:space="preserve"> "</w:instrText>
      </w:r>
      <w:r>
        <w:rPr>
          <w:b/>
          <w:bCs/>
          <w:sz w:val="56"/>
          <w:szCs w:val="56"/>
          <w:u w:val="single"/>
          <w:lang w:bidi="ar-EG"/>
        </w:rPr>
        <w:instrText>https://www.bibelstudium.de/articles/5497/das-wort-wohnte-unter-uns.html</w:instrText>
      </w:r>
      <w:r>
        <w:rPr>
          <w:b/>
          <w:bCs/>
          <w:sz w:val="56"/>
          <w:szCs w:val="56"/>
          <w:u w:val="single"/>
          <w:rtl/>
          <w:lang w:bidi="ar-EG"/>
        </w:rPr>
        <w:instrText xml:space="preserve">" </w:instrText>
      </w:r>
      <w:r>
        <w:rPr>
          <w:b/>
          <w:bCs/>
          <w:sz w:val="56"/>
          <w:szCs w:val="56"/>
          <w:u w:val="single"/>
          <w:rtl/>
          <w:lang w:bidi="ar-EG"/>
        </w:rPr>
      </w:r>
      <w:r>
        <w:rPr>
          <w:b/>
          <w:bCs/>
          <w:sz w:val="56"/>
          <w:szCs w:val="56"/>
          <w:u w:val="single"/>
          <w:rtl/>
          <w:lang w:bidi="ar-EG"/>
        </w:rPr>
        <w:fldChar w:fldCharType="separate"/>
      </w:r>
      <w:r w:rsidR="00F941CE" w:rsidRPr="00FD3E96">
        <w:rPr>
          <w:rStyle w:val="Hyperlink"/>
          <w:rFonts w:hint="cs"/>
          <w:b/>
          <w:bCs/>
          <w:sz w:val="56"/>
          <w:szCs w:val="56"/>
          <w:rtl/>
          <w:lang w:bidi="ar-EG"/>
        </w:rPr>
        <w:t>الكلمة حلّ بيننا</w:t>
      </w:r>
      <w:r>
        <w:rPr>
          <w:b/>
          <w:bCs/>
          <w:sz w:val="56"/>
          <w:szCs w:val="56"/>
          <w:u w:val="single"/>
          <w:rtl/>
          <w:lang w:bidi="ar-EG"/>
        </w:rPr>
        <w:fldChar w:fldCharType="end"/>
      </w:r>
    </w:p>
    <w:p w14:paraId="7A6ACD94" w14:textId="3D345636" w:rsidR="00F941CE" w:rsidRPr="0084304F" w:rsidRDefault="00F941CE" w:rsidP="00F941CE">
      <w:pPr>
        <w:bidi/>
        <w:jc w:val="both"/>
        <w:rPr>
          <w:b/>
          <w:bCs/>
          <w:sz w:val="44"/>
          <w:szCs w:val="44"/>
          <w:rtl/>
          <w:lang w:bidi="ar-EG"/>
        </w:rPr>
      </w:pPr>
      <w:r w:rsidRPr="0084304F">
        <w:rPr>
          <w:rFonts w:hint="cs"/>
          <w:b/>
          <w:bCs/>
          <w:sz w:val="44"/>
          <w:szCs w:val="44"/>
          <w:rtl/>
          <w:lang w:bidi="ar-EG"/>
        </w:rPr>
        <w:t>يوحنا 1: 14</w:t>
      </w:r>
    </w:p>
    <w:p w14:paraId="1BDC1994" w14:textId="2C8C7051" w:rsidR="00F941CE" w:rsidRPr="0084304F" w:rsidRDefault="00F941CE" w:rsidP="00F941CE">
      <w:pPr>
        <w:bidi/>
        <w:jc w:val="both"/>
        <w:rPr>
          <w:sz w:val="56"/>
          <w:szCs w:val="56"/>
          <w:rtl/>
          <w:lang w:bidi="ar-EG"/>
        </w:rPr>
      </w:pPr>
      <w:r w:rsidRPr="0084304F">
        <w:rPr>
          <w:rFonts w:hint="cs"/>
          <w:sz w:val="56"/>
          <w:szCs w:val="56"/>
          <w:rtl/>
          <w:lang w:bidi="ar-EG"/>
        </w:rPr>
        <w:t xml:space="preserve">في العدد المعروف في يوحنا 1: 14، الذي يصف روعة تأنس الرب يسوع، مكتوب، بأن الكلمة المتجسد "حلّ" بيننا. هذه الكلمة يمكن ترجمتها أيضًا </w:t>
      </w:r>
      <w:proofErr w:type="spellStart"/>
      <w:proofErr w:type="gramStart"/>
      <w:r w:rsidRPr="0084304F">
        <w:rPr>
          <w:rFonts w:hint="cs"/>
          <w:sz w:val="56"/>
          <w:szCs w:val="56"/>
          <w:rtl/>
          <w:lang w:bidi="ar-EG"/>
        </w:rPr>
        <w:t>بـ"</w:t>
      </w:r>
      <w:proofErr w:type="gramEnd"/>
      <w:r w:rsidRPr="0084304F">
        <w:rPr>
          <w:rFonts w:hint="cs"/>
          <w:sz w:val="56"/>
          <w:szCs w:val="56"/>
          <w:rtl/>
          <w:lang w:bidi="ar-EG"/>
        </w:rPr>
        <w:t>خيّم</w:t>
      </w:r>
      <w:proofErr w:type="spellEnd"/>
      <w:r w:rsidRPr="0084304F">
        <w:rPr>
          <w:rFonts w:hint="cs"/>
          <w:sz w:val="56"/>
          <w:szCs w:val="56"/>
          <w:rtl/>
          <w:lang w:bidi="ar-EG"/>
        </w:rPr>
        <w:t>" (في الإنجليزية "</w:t>
      </w:r>
      <w:r w:rsidRPr="0084304F">
        <w:rPr>
          <w:sz w:val="56"/>
          <w:szCs w:val="56"/>
          <w:lang w:bidi="ar-EG"/>
        </w:rPr>
        <w:t>tabernacled</w:t>
      </w:r>
      <w:r w:rsidRPr="0084304F">
        <w:rPr>
          <w:rFonts w:hint="cs"/>
          <w:sz w:val="56"/>
          <w:szCs w:val="56"/>
          <w:rtl/>
          <w:lang w:bidi="ar-EG"/>
        </w:rPr>
        <w:t>"). بذلك نحن لدينا إشارة في هذا العدد إلى خيمة الاجتماع، والتي في تفاصيلها الكثيرة تُشير إلى هذا الشخص السامي، مَن أتى إلى هذه الأرض في اتضاع شديد.</w:t>
      </w:r>
    </w:p>
    <w:p w14:paraId="22BD967D" w14:textId="251D485D" w:rsidR="00F941CE" w:rsidRPr="0084304F" w:rsidRDefault="00F941CE" w:rsidP="00F941CE">
      <w:pPr>
        <w:bidi/>
        <w:jc w:val="both"/>
        <w:rPr>
          <w:sz w:val="56"/>
          <w:szCs w:val="56"/>
          <w:rtl/>
          <w:lang w:bidi="ar-EG"/>
        </w:rPr>
      </w:pPr>
      <w:r w:rsidRPr="0084304F">
        <w:rPr>
          <w:rFonts w:hint="cs"/>
          <w:sz w:val="56"/>
          <w:szCs w:val="56"/>
          <w:rtl/>
          <w:lang w:bidi="ar-EG"/>
        </w:rPr>
        <w:t>دعونا ننظر إلى بعض هذه المتوازيات باختصار:</w:t>
      </w:r>
    </w:p>
    <w:p w14:paraId="6F6DE1A9" w14:textId="5F47205A"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 xml:space="preserve">كانت خيمة الاجتماع بناءً مؤقتًا، وهي خيمة انتقلت من مكان إلى آخر. </w:t>
      </w:r>
      <w:r w:rsidRPr="0084304F">
        <w:rPr>
          <w:sz w:val="56"/>
          <w:szCs w:val="56"/>
          <w:rtl/>
          <w:lang w:bidi="ar-EG"/>
        </w:rPr>
        <w:t>–</w:t>
      </w:r>
      <w:r w:rsidRPr="0084304F">
        <w:rPr>
          <w:rFonts w:hint="cs"/>
          <w:sz w:val="56"/>
          <w:szCs w:val="56"/>
          <w:rtl/>
          <w:lang w:bidi="ar-EG"/>
        </w:rPr>
        <w:t xml:space="preserve"> إن مكوث الرب يسوع على الأرض كان لفترة قصيرة، 30 سنة على الأكثر. وقد انتقل من مكان إلى آخر، محبته كانت عاملة من دون تعب (أعمال الرسل 10: 38).</w:t>
      </w:r>
    </w:p>
    <w:p w14:paraId="46B1037F" w14:textId="3D000CBF"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 xml:space="preserve">خيمة الاجتماع كانت معدّة لرحلة البرية. </w:t>
      </w:r>
      <w:r w:rsidRPr="0084304F">
        <w:rPr>
          <w:sz w:val="56"/>
          <w:szCs w:val="56"/>
          <w:rtl/>
          <w:lang w:bidi="ar-EG"/>
        </w:rPr>
        <w:t>–</w:t>
      </w:r>
      <w:r w:rsidRPr="0084304F">
        <w:rPr>
          <w:rFonts w:hint="cs"/>
          <w:sz w:val="56"/>
          <w:szCs w:val="56"/>
          <w:rtl/>
          <w:lang w:bidi="ar-EG"/>
        </w:rPr>
        <w:t xml:space="preserve"> لقد كانت هنالك ظروف برية أتى إليها المخلص. مذود، عائلة نجّار، ومن ثم لم يكن له مكان أين يُسند رأسه فيه. الناس الذين أتى إليهم كانوا بعيدين كل البعد عن الله وكانوا مثل "</w:t>
      </w:r>
      <w:r w:rsidRPr="0084304F">
        <w:rPr>
          <w:sz w:val="56"/>
          <w:szCs w:val="56"/>
          <w:rtl/>
          <w:lang w:bidi="ar-EG"/>
        </w:rPr>
        <w:t>أَرْضٍ نَاشِفَةٍ وَيَابِسَةٍ بِلاَ مَاءٍ</w:t>
      </w:r>
      <w:r w:rsidRPr="0084304F">
        <w:rPr>
          <w:rFonts w:hint="cs"/>
          <w:sz w:val="56"/>
          <w:szCs w:val="56"/>
          <w:rtl/>
          <w:lang w:bidi="ar-EG"/>
        </w:rPr>
        <w:t xml:space="preserve">" (مزمور </w:t>
      </w:r>
      <w:r w:rsidRPr="0084304F">
        <w:rPr>
          <w:rFonts w:hint="cs"/>
          <w:sz w:val="56"/>
          <w:szCs w:val="56"/>
          <w:rtl/>
          <w:lang w:bidi="ar-EG"/>
        </w:rPr>
        <w:lastRenderedPageBreak/>
        <w:t>63: 1). "برية" و "</w:t>
      </w:r>
      <w:r w:rsidR="00424938">
        <w:rPr>
          <w:rFonts w:hint="cs"/>
          <w:sz w:val="56"/>
          <w:szCs w:val="56"/>
          <w:rtl/>
          <w:lang w:bidi="ar-EG"/>
        </w:rPr>
        <w:t>قفر</w:t>
      </w:r>
      <w:r w:rsidRPr="0084304F">
        <w:rPr>
          <w:rFonts w:hint="cs"/>
          <w:sz w:val="56"/>
          <w:szCs w:val="56"/>
          <w:rtl/>
          <w:lang w:bidi="ar-EG"/>
        </w:rPr>
        <w:t>" كانت أماكن إقامة الغريب السماوي (مزمور 102: 6).</w:t>
      </w:r>
    </w:p>
    <w:p w14:paraId="156B8649" w14:textId="5D193BFB"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 xml:space="preserve">في الظاهر لم يكن للخيمة منظرًا بهيًا. السجادة المنسوجة بالألوان كان يغطيها غطاء </w:t>
      </w:r>
      <w:proofErr w:type="spellStart"/>
      <w:r w:rsidRPr="0084304F">
        <w:rPr>
          <w:rFonts w:hint="cs"/>
          <w:sz w:val="56"/>
          <w:szCs w:val="56"/>
          <w:rtl/>
          <w:lang w:bidi="ar-EG"/>
        </w:rPr>
        <w:t>التُّخَس</w:t>
      </w:r>
      <w:proofErr w:type="spellEnd"/>
      <w:r w:rsidRPr="0084304F">
        <w:rPr>
          <w:rFonts w:hint="cs"/>
          <w:sz w:val="56"/>
          <w:szCs w:val="56"/>
          <w:rtl/>
          <w:lang w:bidi="ar-EG"/>
        </w:rPr>
        <w:t xml:space="preserve"> (جلود بقر البحر). </w:t>
      </w:r>
      <w:r w:rsidRPr="0084304F">
        <w:rPr>
          <w:sz w:val="56"/>
          <w:szCs w:val="56"/>
          <w:rtl/>
          <w:lang w:bidi="ar-EG"/>
        </w:rPr>
        <w:t>–</w:t>
      </w:r>
      <w:r w:rsidRPr="0084304F">
        <w:rPr>
          <w:rFonts w:hint="cs"/>
          <w:sz w:val="56"/>
          <w:szCs w:val="56"/>
          <w:rtl/>
          <w:lang w:bidi="ar-EG"/>
        </w:rPr>
        <w:t xml:space="preserve"> بالنسبة للعين </w:t>
      </w:r>
      <w:proofErr w:type="gramStart"/>
      <w:r w:rsidRPr="0084304F">
        <w:rPr>
          <w:rFonts w:hint="cs"/>
          <w:sz w:val="56"/>
          <w:szCs w:val="56"/>
          <w:rtl/>
          <w:lang w:bidi="ar-EG"/>
        </w:rPr>
        <w:t>الغير مؤمنة</w:t>
      </w:r>
      <w:proofErr w:type="gramEnd"/>
      <w:r w:rsidRPr="0084304F">
        <w:rPr>
          <w:rFonts w:hint="cs"/>
          <w:sz w:val="56"/>
          <w:szCs w:val="56"/>
          <w:rtl/>
          <w:lang w:bidi="ar-EG"/>
        </w:rPr>
        <w:t xml:space="preserve"> لم يكن للرب يسوع "</w:t>
      </w:r>
      <w:r w:rsidRPr="0084304F">
        <w:rPr>
          <w:sz w:val="56"/>
          <w:szCs w:val="56"/>
          <w:rtl/>
          <w:lang w:bidi="ar-EG"/>
        </w:rPr>
        <w:t>لاَ صُورَةَ وَلاَ جَمَالَ فَنَنْظُرَ إِلَيْهِ، وَلاَ مَنْظَرَ فَنَشْتَهِيَهُ.</w:t>
      </w:r>
      <w:r w:rsidRPr="0084304F">
        <w:rPr>
          <w:rFonts w:hint="cs"/>
          <w:sz w:val="56"/>
          <w:szCs w:val="56"/>
          <w:rtl/>
          <w:lang w:bidi="ar-EG"/>
        </w:rPr>
        <w:t xml:space="preserve">" قليلون فقط </w:t>
      </w:r>
      <w:r w:rsidR="00424938">
        <w:rPr>
          <w:rFonts w:hint="cs"/>
          <w:sz w:val="56"/>
          <w:szCs w:val="56"/>
          <w:rtl/>
          <w:lang w:bidi="ar-EG"/>
        </w:rPr>
        <w:t>كانوا</w:t>
      </w:r>
      <w:r w:rsidRPr="0084304F">
        <w:rPr>
          <w:rFonts w:hint="cs"/>
          <w:sz w:val="56"/>
          <w:szCs w:val="56"/>
          <w:rtl/>
          <w:lang w:bidi="ar-EG"/>
        </w:rPr>
        <w:t xml:space="preserve"> يميزون تحت رداء اتضاعه مجد الوحيد من الآب (أشعياء 53: 2؛ يوحنا 1: 14).</w:t>
      </w:r>
    </w:p>
    <w:p w14:paraId="0EB8110C" w14:textId="50D1F848"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 xml:space="preserve">عدا عن ذلك كانت خيمة الاجتماع مسكنًا لله. هناك، في قدس الأقداس، بين </w:t>
      </w:r>
      <w:proofErr w:type="spellStart"/>
      <w:r w:rsidRPr="0084304F">
        <w:rPr>
          <w:rFonts w:hint="cs"/>
          <w:sz w:val="56"/>
          <w:szCs w:val="56"/>
          <w:rtl/>
          <w:lang w:bidi="ar-EG"/>
        </w:rPr>
        <w:t>الكروبين</w:t>
      </w:r>
      <w:proofErr w:type="spellEnd"/>
      <w:r w:rsidRPr="0084304F">
        <w:rPr>
          <w:rFonts w:hint="cs"/>
          <w:sz w:val="56"/>
          <w:szCs w:val="56"/>
          <w:rtl/>
          <w:lang w:bidi="ar-EG"/>
        </w:rPr>
        <w:t xml:space="preserve">، كان عرش الله وسط شعبه الأرضي. </w:t>
      </w:r>
      <w:r w:rsidRPr="0084304F">
        <w:rPr>
          <w:sz w:val="56"/>
          <w:szCs w:val="56"/>
          <w:rtl/>
          <w:lang w:bidi="ar-EG"/>
        </w:rPr>
        <w:t>–</w:t>
      </w:r>
      <w:r w:rsidRPr="0084304F">
        <w:rPr>
          <w:rFonts w:hint="cs"/>
          <w:sz w:val="56"/>
          <w:szCs w:val="56"/>
          <w:rtl/>
          <w:lang w:bidi="ar-EG"/>
        </w:rPr>
        <w:t xml:space="preserve"> وأثناء حياة الرب يسوع على الأرض كان مسكن الله في فلسطين. كسحابة </w:t>
      </w:r>
      <w:proofErr w:type="spellStart"/>
      <w:r w:rsidRPr="0084304F">
        <w:rPr>
          <w:rFonts w:hint="cs"/>
          <w:sz w:val="56"/>
          <w:szCs w:val="56"/>
          <w:rtl/>
          <w:lang w:bidi="ar-EG"/>
        </w:rPr>
        <w:t>الشكينة</w:t>
      </w:r>
      <w:proofErr w:type="spellEnd"/>
      <w:r w:rsidRPr="0084304F">
        <w:rPr>
          <w:rFonts w:hint="cs"/>
          <w:sz w:val="56"/>
          <w:szCs w:val="56"/>
          <w:rtl/>
          <w:lang w:bidi="ar-EG"/>
        </w:rPr>
        <w:t xml:space="preserve"> في قدس الأقداس، حلّ ملء اللاهوت جسديًا في القدوس. لقد قال: "</w:t>
      </w:r>
      <w:r w:rsidRPr="0084304F">
        <w:rPr>
          <w:sz w:val="56"/>
          <w:szCs w:val="56"/>
          <w:rtl/>
          <w:lang w:bidi="ar-EG"/>
        </w:rPr>
        <w:t>انْقُضُوا هذَا الْهَيْكَلَ</w:t>
      </w:r>
      <w:r w:rsidRPr="0084304F">
        <w:rPr>
          <w:rFonts w:hint="cs"/>
          <w:sz w:val="56"/>
          <w:szCs w:val="56"/>
          <w:rtl/>
          <w:lang w:bidi="ar-EG"/>
        </w:rPr>
        <w:t>"، وبذلك قصد جسده، أشرف مكان للسكن على الإطلاق كان لله على الأرض.</w:t>
      </w:r>
    </w:p>
    <w:p w14:paraId="4EC5BDBC" w14:textId="648742B4"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موسى دعا الخيمة "خيمة الاجتماع". لقد كان الموضع الذي تقابل فيه الله مع الإنسان. "</w:t>
      </w:r>
      <w:r w:rsidRPr="0084304F">
        <w:rPr>
          <w:sz w:val="56"/>
          <w:szCs w:val="56"/>
          <w:rtl/>
          <w:lang w:bidi="ar-EG"/>
        </w:rPr>
        <w:t xml:space="preserve"> 22 وَأَنَا أَجْتَمِعُ بِكَ هُنَاكَ</w:t>
      </w:r>
      <w:r w:rsidRPr="0084304F">
        <w:rPr>
          <w:rFonts w:hint="cs"/>
          <w:sz w:val="56"/>
          <w:szCs w:val="56"/>
          <w:rtl/>
          <w:lang w:bidi="ar-EG"/>
        </w:rPr>
        <w:t xml:space="preserve">"، قال الله حينذاك لإسرائيل (خروج 25: 22). </w:t>
      </w:r>
      <w:r w:rsidRPr="0084304F">
        <w:rPr>
          <w:sz w:val="56"/>
          <w:szCs w:val="56"/>
          <w:rtl/>
          <w:lang w:bidi="ar-EG"/>
        </w:rPr>
        <w:t>–</w:t>
      </w:r>
      <w:r w:rsidRPr="0084304F">
        <w:rPr>
          <w:rFonts w:hint="cs"/>
          <w:sz w:val="56"/>
          <w:szCs w:val="56"/>
          <w:rtl/>
          <w:lang w:bidi="ar-EG"/>
        </w:rPr>
        <w:t xml:space="preserve"> يا لها من صورة بديعة عن المسيح، مَن "حلّ بيننا"، </w:t>
      </w:r>
      <w:proofErr w:type="spellStart"/>
      <w:r w:rsidRPr="0084304F">
        <w:rPr>
          <w:rFonts w:hint="cs"/>
          <w:sz w:val="56"/>
          <w:szCs w:val="56"/>
          <w:rtl/>
          <w:lang w:bidi="ar-EG"/>
        </w:rPr>
        <w:t>عمّانوئيل</w:t>
      </w:r>
      <w:proofErr w:type="spellEnd"/>
      <w:r w:rsidRPr="0084304F">
        <w:rPr>
          <w:rFonts w:hint="cs"/>
          <w:sz w:val="56"/>
          <w:szCs w:val="56"/>
          <w:rtl/>
          <w:lang w:bidi="ar-EG"/>
        </w:rPr>
        <w:t xml:space="preserve">. "الذي معناه: الله معنا." الله يجتمع بنا، </w:t>
      </w:r>
      <w:r w:rsidR="00424938" w:rsidRPr="00424938">
        <w:rPr>
          <w:sz w:val="56"/>
          <w:szCs w:val="56"/>
          <w:rtl/>
          <w:lang w:bidi="ar-EG"/>
        </w:rPr>
        <w:lastRenderedPageBreak/>
        <w:t>لأَنَّهُ يُوجَدُ إِلهٌ وَاحِدٌ وَوَسِيطٌ وَاحِدٌ بَيْنَ اللهِ وَالنَّاسِ: الإِنْسَانُ يَسُوعُ الْمَسِيحُ</w:t>
      </w:r>
      <w:r w:rsidRPr="0084304F">
        <w:rPr>
          <w:rFonts w:hint="cs"/>
          <w:sz w:val="56"/>
          <w:szCs w:val="56"/>
          <w:rtl/>
          <w:lang w:bidi="ar-EG"/>
        </w:rPr>
        <w:t>، الذي بدونه لن يأتي أحد إلى الآب.</w:t>
      </w:r>
    </w:p>
    <w:p w14:paraId="75300052" w14:textId="79330412"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 xml:space="preserve">الخيمة كان مكانها وسط محلّة إسرائيل (قارن سفر العدد 1: 50؛ 2: 17). حينما دُعي الشعب معًا، كان يجتمع عند باب الخيمة (مثلاً سفر العدد 10: 3). لقد كانت نقطة تجمعهم. </w:t>
      </w:r>
      <w:r w:rsidRPr="0084304F">
        <w:rPr>
          <w:sz w:val="56"/>
          <w:szCs w:val="56"/>
          <w:rtl/>
          <w:lang w:bidi="ar-EG"/>
        </w:rPr>
        <w:t>–</w:t>
      </w:r>
      <w:r w:rsidRPr="0084304F">
        <w:rPr>
          <w:rFonts w:hint="cs"/>
          <w:sz w:val="56"/>
          <w:szCs w:val="56"/>
          <w:rtl/>
          <w:lang w:bidi="ar-EG"/>
        </w:rPr>
        <w:t xml:space="preserve"> كم هذا يتكلم بشكل واضح عن الرب يسوع، الذي اليوم أيضًا هو لنا نقطة نجتمع فيها. إن وعده ساري عمله إلى اليوم: "</w:t>
      </w:r>
      <w:r w:rsidRPr="0084304F">
        <w:rPr>
          <w:sz w:val="56"/>
          <w:szCs w:val="56"/>
          <w:rtl/>
          <w:lang w:bidi="ar-EG"/>
        </w:rPr>
        <w:t>حَيْثُمَا اجْتَمَعَ اثْنَانِ أَوْ ثَلاَثَةٌ بِاسْمِي فَهُنَاكَ أَكُونُ فِي وَسْطِهِمْ».</w:t>
      </w:r>
      <w:r w:rsidRPr="0084304F">
        <w:rPr>
          <w:rFonts w:hint="cs"/>
          <w:sz w:val="56"/>
          <w:szCs w:val="56"/>
          <w:rtl/>
          <w:lang w:bidi="ar-EG"/>
        </w:rPr>
        <w:t>" (متى 18: 20).</w:t>
      </w:r>
    </w:p>
    <w:p w14:paraId="35302458" w14:textId="52FBB260"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 xml:space="preserve">القدس في البرية كان الموضع الذي قُدّمت فيه الذبائح والبخور أيضًا. </w:t>
      </w:r>
      <w:r w:rsidRPr="0084304F">
        <w:rPr>
          <w:sz w:val="56"/>
          <w:szCs w:val="56"/>
          <w:rtl/>
          <w:lang w:bidi="ar-EG"/>
        </w:rPr>
        <w:t>–</w:t>
      </w:r>
      <w:r w:rsidRPr="0084304F">
        <w:rPr>
          <w:rFonts w:hint="cs"/>
          <w:sz w:val="56"/>
          <w:szCs w:val="56"/>
          <w:rtl/>
          <w:lang w:bidi="ar-EG"/>
        </w:rPr>
        <w:t xml:space="preserve"> جميع الآنية تتكلم رمزيًا عن شخص وعمل الرب يسوع. صليبه كان المذبح، حيث سال دم الكفارة لأجلنا وحيث تصاعدت الرائحة الزكية إلى الله.</w:t>
      </w:r>
    </w:p>
    <w:p w14:paraId="1CF6FFE4" w14:textId="64A53AD8"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t>في هذا "الموضع المقدس"، "</w:t>
      </w:r>
      <w:r w:rsidRPr="0084304F">
        <w:rPr>
          <w:sz w:val="56"/>
          <w:szCs w:val="56"/>
          <w:rtl/>
          <w:lang w:bidi="ar-EG"/>
        </w:rPr>
        <w:t>فِي دَارِ خَيْمَةِ الاجْتِمَاعِ</w:t>
      </w:r>
      <w:r w:rsidRPr="0084304F">
        <w:rPr>
          <w:rFonts w:hint="cs"/>
          <w:sz w:val="56"/>
          <w:szCs w:val="56"/>
          <w:rtl/>
          <w:lang w:bidi="ar-EG"/>
        </w:rPr>
        <w:t xml:space="preserve">"، أُعيلت العائلة الكهنوتية بالطعام. هناك أكلوا من ذبيحة التقدمة ومن ذبيحة الخطية (قارن لاويين 6: 6 + 19). </w:t>
      </w:r>
      <w:r w:rsidRPr="0084304F">
        <w:rPr>
          <w:sz w:val="56"/>
          <w:szCs w:val="56"/>
          <w:rtl/>
          <w:lang w:bidi="ar-EG"/>
        </w:rPr>
        <w:t>–</w:t>
      </w:r>
      <w:r w:rsidRPr="0084304F">
        <w:rPr>
          <w:rFonts w:hint="cs"/>
          <w:sz w:val="56"/>
          <w:szCs w:val="56"/>
          <w:rtl/>
          <w:lang w:bidi="ar-EG"/>
        </w:rPr>
        <w:t xml:space="preserve"> اليوم جميع المؤمنين يشكلون العائلة الكهنوتية (1. بطرس 2: 5)، وطعامهم الروحي هو المسيح، الخبز الذي من السماء.</w:t>
      </w:r>
    </w:p>
    <w:p w14:paraId="31CF63DC" w14:textId="4E424CA9" w:rsidR="00F941CE" w:rsidRPr="0084304F" w:rsidRDefault="00F941CE" w:rsidP="00F941CE">
      <w:pPr>
        <w:pStyle w:val="ListParagraph"/>
        <w:numPr>
          <w:ilvl w:val="0"/>
          <w:numId w:val="1"/>
        </w:numPr>
        <w:bidi/>
        <w:jc w:val="both"/>
        <w:rPr>
          <w:sz w:val="56"/>
          <w:szCs w:val="56"/>
          <w:lang w:bidi="ar-EG"/>
        </w:rPr>
      </w:pPr>
      <w:r w:rsidRPr="0084304F">
        <w:rPr>
          <w:rFonts w:hint="cs"/>
          <w:sz w:val="56"/>
          <w:szCs w:val="56"/>
          <w:rtl/>
          <w:lang w:bidi="ar-EG"/>
        </w:rPr>
        <w:lastRenderedPageBreak/>
        <w:t>أخيرًا كانت خيمة الاجتماع موضع السجود. كل مَن أراد أن يقدّم ذبيحة طوعية، كان ينبغي عليه أن يقدمها "</w:t>
      </w:r>
      <w:r w:rsidRPr="0084304F">
        <w:rPr>
          <w:sz w:val="56"/>
          <w:szCs w:val="56"/>
          <w:rtl/>
          <w:lang w:bidi="ar-EG"/>
        </w:rPr>
        <w:t>إِلَى بَابِ خَيْمَةِ الاجْتِمَاعِ</w:t>
      </w:r>
      <w:r w:rsidRPr="0084304F">
        <w:rPr>
          <w:rFonts w:hint="cs"/>
          <w:sz w:val="56"/>
          <w:szCs w:val="56"/>
          <w:rtl/>
          <w:lang w:bidi="ar-EG"/>
        </w:rPr>
        <w:t xml:space="preserve">" (لاويين 1: 3). </w:t>
      </w:r>
      <w:r w:rsidRPr="0084304F">
        <w:rPr>
          <w:sz w:val="56"/>
          <w:szCs w:val="56"/>
          <w:rtl/>
          <w:lang w:bidi="ar-EG"/>
        </w:rPr>
        <w:t>–</w:t>
      </w:r>
      <w:r w:rsidRPr="0084304F">
        <w:rPr>
          <w:rFonts w:hint="cs"/>
          <w:sz w:val="56"/>
          <w:szCs w:val="56"/>
          <w:rtl/>
          <w:lang w:bidi="ar-EG"/>
        </w:rPr>
        <w:t xml:space="preserve"> "به" فقط يستطيع المؤمنون أن يقدموا اليوم "</w:t>
      </w:r>
      <w:r w:rsidRPr="0084304F">
        <w:rPr>
          <w:sz w:val="56"/>
          <w:szCs w:val="56"/>
          <w:rtl/>
          <w:lang w:bidi="ar-EG"/>
        </w:rPr>
        <w:t xml:space="preserve"> فِي كُلِّ حِينٍ ِللهِ ذَبِيحَةَ التَّسْبِيحِ</w:t>
      </w:r>
      <w:r w:rsidRPr="0084304F">
        <w:rPr>
          <w:rFonts w:hint="cs"/>
          <w:sz w:val="56"/>
          <w:szCs w:val="56"/>
          <w:rtl/>
          <w:lang w:bidi="ar-EG"/>
        </w:rPr>
        <w:t>". وبنفس الوقت هو بنفسه هذه الذبيحة، التي يحق لنا دومًا وتكرارًا عن نقدمها لله ساجدين.</w:t>
      </w:r>
    </w:p>
    <w:p w14:paraId="6083D1B3" w14:textId="6D94B6CA" w:rsidR="00F941CE" w:rsidRPr="0084304F" w:rsidRDefault="00F941CE" w:rsidP="00F941CE">
      <w:pPr>
        <w:bidi/>
        <w:jc w:val="both"/>
        <w:rPr>
          <w:sz w:val="56"/>
          <w:szCs w:val="56"/>
          <w:rtl/>
          <w:lang w:bidi="ar-EG"/>
        </w:rPr>
      </w:pPr>
      <w:r w:rsidRPr="0084304F">
        <w:rPr>
          <w:rFonts w:hint="cs"/>
          <w:sz w:val="56"/>
          <w:szCs w:val="56"/>
          <w:rtl/>
          <w:lang w:bidi="ar-EG"/>
        </w:rPr>
        <w:t>إننا أظهرنا فقط المتوازيات الجوهرية بين المثال في العهد القديم وتتمتها كاملاً في المسيح. لكنه يكفي ليكون لنا أكثر يقين</w:t>
      </w:r>
      <w:r w:rsidR="00424938">
        <w:rPr>
          <w:rFonts w:hint="cs"/>
          <w:sz w:val="56"/>
          <w:szCs w:val="56"/>
          <w:rtl/>
          <w:lang w:bidi="ar-EG"/>
        </w:rPr>
        <w:t>ٍ</w:t>
      </w:r>
      <w:r w:rsidRPr="0084304F">
        <w:rPr>
          <w:rFonts w:hint="cs"/>
          <w:sz w:val="56"/>
          <w:szCs w:val="56"/>
          <w:rtl/>
          <w:lang w:bidi="ar-EG"/>
        </w:rPr>
        <w:t xml:space="preserve"> بعُظم هذه الحقيقة: "</w:t>
      </w:r>
      <w:r w:rsidRPr="0084304F">
        <w:rPr>
          <w:sz w:val="56"/>
          <w:szCs w:val="56"/>
          <w:rtl/>
          <w:lang w:bidi="ar-EG"/>
        </w:rPr>
        <w:t>الْكَلِمَةُ صَارَ جَسَدًا وَحَلَّ بَيْنَنَا، وَرَأَيْنَا مَجْدَهُ، مَجْدًا كَمَا لِوَحِيدٍ مِنَ الآبِ</w:t>
      </w:r>
      <w:r w:rsidRPr="0084304F">
        <w:rPr>
          <w:rFonts w:hint="cs"/>
          <w:sz w:val="56"/>
          <w:szCs w:val="56"/>
          <w:rtl/>
          <w:lang w:bidi="ar-EG"/>
        </w:rPr>
        <w:t>".</w:t>
      </w:r>
    </w:p>
    <w:p w14:paraId="466491D0" w14:textId="6AAE9836" w:rsidR="00F941CE" w:rsidRPr="0084304F" w:rsidRDefault="00F941CE" w:rsidP="00F941CE">
      <w:pPr>
        <w:jc w:val="both"/>
        <w:rPr>
          <w:b/>
          <w:bCs/>
          <w:sz w:val="40"/>
          <w:szCs w:val="40"/>
          <w:rtl/>
          <w:lang w:bidi="ar-EG"/>
        </w:rPr>
      </w:pPr>
      <w:r w:rsidRPr="0084304F">
        <w:rPr>
          <w:b/>
          <w:bCs/>
          <w:sz w:val="40"/>
          <w:szCs w:val="40"/>
          <w:lang w:bidi="ar-EG"/>
        </w:rPr>
        <w:t xml:space="preserve">Marco </w:t>
      </w:r>
      <w:proofErr w:type="spellStart"/>
      <w:r w:rsidRPr="0084304F">
        <w:rPr>
          <w:b/>
          <w:bCs/>
          <w:sz w:val="40"/>
          <w:szCs w:val="40"/>
          <w:lang w:bidi="ar-EG"/>
        </w:rPr>
        <w:t>Leßmann</w:t>
      </w:r>
      <w:proofErr w:type="spellEnd"/>
    </w:p>
    <w:sectPr w:rsidR="00F941CE" w:rsidRPr="0084304F" w:rsidSect="0084304F">
      <w:pgSz w:w="11906" w:h="16838"/>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E05C77"/>
    <w:multiLevelType w:val="hybridMultilevel"/>
    <w:tmpl w:val="09EAB3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1CE"/>
    <w:rsid w:val="00424938"/>
    <w:rsid w:val="00614739"/>
    <w:rsid w:val="0084304F"/>
    <w:rsid w:val="00F941CE"/>
    <w:rsid w:val="00FD3E96"/>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9E1D7"/>
  <w15:chartTrackingRefBased/>
  <w15:docId w15:val="{3CCF0C5A-6DCC-4DC6-832D-F0C44AA60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41CE"/>
    <w:pPr>
      <w:ind w:left="720"/>
      <w:contextualSpacing/>
    </w:pPr>
  </w:style>
  <w:style w:type="character" w:styleId="Hyperlink">
    <w:name w:val="Hyperlink"/>
    <w:basedOn w:val="DefaultParagraphFont"/>
    <w:uiPriority w:val="99"/>
    <w:unhideWhenUsed/>
    <w:rsid w:val="00FD3E96"/>
    <w:rPr>
      <w:color w:val="0563C1" w:themeColor="hyperlink"/>
      <w:u w:val="single"/>
    </w:rPr>
  </w:style>
  <w:style w:type="character" w:styleId="UnresolvedMention">
    <w:name w:val="Unresolved Mention"/>
    <w:basedOn w:val="DefaultParagraphFont"/>
    <w:uiPriority w:val="99"/>
    <w:semiHidden/>
    <w:unhideWhenUsed/>
    <w:rsid w:val="00FD3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568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2021-03-18T19:58:00Z</dcterms:created>
  <dcterms:modified xsi:type="dcterms:W3CDTF">2021-03-18T21:04:00Z</dcterms:modified>
</cp:coreProperties>
</file>