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10CC77" w14:textId="56E9BC25" w:rsidR="00051645" w:rsidRDefault="00BC390B">
      <w:pPr>
        <w:rPr>
          <w:rtl/>
          <w:lang w:bidi="ar-LB"/>
        </w:rPr>
      </w:pPr>
      <w:r>
        <w:rPr>
          <w:rtl/>
          <w:lang w:bidi="ar-LB"/>
        </w:rPr>
        <w:fldChar w:fldCharType="begin"/>
      </w:r>
      <w:r>
        <w:rPr>
          <w:rtl/>
          <w:lang w:bidi="ar-LB"/>
        </w:rPr>
        <w:instrText xml:space="preserve"> </w:instrText>
      </w:r>
      <w:r>
        <w:rPr>
          <w:lang w:bidi="ar-LB"/>
        </w:rPr>
        <w:instrText>HYPERLINK</w:instrText>
      </w:r>
      <w:r>
        <w:rPr>
          <w:rtl/>
          <w:lang w:bidi="ar-LB"/>
        </w:rPr>
        <w:instrText xml:space="preserve"> "</w:instrText>
      </w:r>
      <w:r>
        <w:rPr>
          <w:lang w:bidi="ar-LB"/>
        </w:rPr>
        <w:instrText>https://www.bibelkommentare.de/kommentare/817/im-anfang</w:instrText>
      </w:r>
      <w:r>
        <w:rPr>
          <w:rtl/>
          <w:lang w:bidi="ar-LB"/>
        </w:rPr>
        <w:instrText xml:space="preserve">" </w:instrText>
      </w:r>
      <w:r>
        <w:rPr>
          <w:rtl/>
          <w:lang w:bidi="ar-LB"/>
        </w:rPr>
      </w:r>
      <w:r>
        <w:rPr>
          <w:rtl/>
          <w:lang w:bidi="ar-LB"/>
        </w:rPr>
        <w:fldChar w:fldCharType="separate"/>
      </w:r>
      <w:r w:rsidRPr="00BC390B">
        <w:rPr>
          <w:rStyle w:val="Hyperlink"/>
          <w:rFonts w:hint="cs"/>
          <w:rtl/>
          <w:lang w:bidi="ar-LB"/>
        </w:rPr>
        <w:t>في البدء</w:t>
      </w:r>
      <w:r>
        <w:rPr>
          <w:rtl/>
          <w:lang w:bidi="ar-LB"/>
        </w:rPr>
        <w:fldChar w:fldCharType="end"/>
      </w:r>
    </w:p>
    <w:p w14:paraId="5FE3AEF1" w14:textId="7859D314" w:rsidR="00BC390B" w:rsidRPr="00BC390B" w:rsidRDefault="00BC390B" w:rsidP="00BC390B">
      <w:pPr>
        <w:bidi w:val="0"/>
        <w:rPr>
          <w:lang w:val="en-US" w:bidi="ar-LB"/>
        </w:rPr>
      </w:pPr>
      <w:r w:rsidRPr="00BC390B">
        <w:rPr>
          <w:lang w:bidi="ar-LB"/>
        </w:rPr>
        <w:t>Stefan Ulrich</w:t>
      </w:r>
    </w:p>
    <w:p w14:paraId="78B9EE18" w14:textId="399E0C7F" w:rsidR="00BC390B" w:rsidRDefault="00BC390B">
      <w:pPr>
        <w:rPr>
          <w:rtl/>
          <w:lang w:bidi="ar-LB"/>
        </w:rPr>
      </w:pPr>
      <w:r>
        <w:rPr>
          <w:rFonts w:hint="cs"/>
          <w:rtl/>
          <w:lang w:bidi="ar-LB"/>
        </w:rPr>
        <w:t>مقدمة</w:t>
      </w:r>
    </w:p>
    <w:p w14:paraId="7F523B20" w14:textId="4A5B3063" w:rsidR="00BC390B" w:rsidRDefault="00BC390B">
      <w:pPr>
        <w:rPr>
          <w:rtl/>
          <w:lang w:bidi="ar-LB"/>
        </w:rPr>
      </w:pPr>
      <w:r>
        <w:rPr>
          <w:rFonts w:hint="cs"/>
          <w:rtl/>
          <w:lang w:bidi="ar-LB"/>
        </w:rPr>
        <w:t>إن سفر التكوين هو سفر مميز في كلمة الله. إنه كتاب حتى الأولاد يحبون أن يقرأوا قصصه وهو مصدر لا ينقطع لكل قارئ للكتاب من التعاليم الإرشادية. إنه كتاب البدء ولهذا يُسمّى في بعض اللغات "</w:t>
      </w:r>
      <w:proofErr w:type="spellStart"/>
      <w:r>
        <w:rPr>
          <w:rFonts w:hint="cs"/>
          <w:rtl/>
          <w:lang w:bidi="ar-LB"/>
        </w:rPr>
        <w:t>جينيسيس</w:t>
      </w:r>
      <w:proofErr w:type="spellEnd"/>
      <w:r>
        <w:rPr>
          <w:rFonts w:hint="cs"/>
          <w:rtl/>
          <w:lang w:bidi="ar-LB"/>
        </w:rPr>
        <w:t>". هذه الكلمة اليونانية معناها: "بدء"، "خليقة"، "أصل الأمور" أو "يصير". العنوان العبري هو "</w:t>
      </w:r>
      <w:proofErr w:type="spellStart"/>
      <w:r>
        <w:rPr>
          <w:rFonts w:hint="cs"/>
          <w:rtl/>
          <w:lang w:bidi="ar-LB"/>
        </w:rPr>
        <w:t>بريشيت</w:t>
      </w:r>
      <w:proofErr w:type="spellEnd"/>
      <w:r>
        <w:rPr>
          <w:rFonts w:hint="cs"/>
          <w:rtl/>
          <w:lang w:bidi="ar-LB"/>
        </w:rPr>
        <w:t xml:space="preserve"> </w:t>
      </w:r>
      <w:r>
        <w:rPr>
          <w:rtl/>
          <w:lang w:bidi="ar-LB"/>
        </w:rPr>
        <w:t>–</w:t>
      </w:r>
      <w:r>
        <w:rPr>
          <w:rFonts w:hint="cs"/>
          <w:rtl/>
          <w:lang w:bidi="ar-LB"/>
        </w:rPr>
        <w:t xml:space="preserve"> </w:t>
      </w:r>
      <w:r w:rsidRPr="002C41CD">
        <w:rPr>
          <w:rFonts w:ascii="David" w:hAnsi="David" w:cs="David"/>
          <w:b/>
          <w:bCs/>
          <w:sz w:val="24"/>
          <w:szCs w:val="24"/>
          <w:rtl/>
        </w:rPr>
        <w:t>בראשית</w:t>
      </w:r>
      <w:r>
        <w:rPr>
          <w:rFonts w:hint="cs"/>
          <w:rtl/>
          <w:lang w:bidi="ar-LB"/>
        </w:rPr>
        <w:t>" (في البدء).</w:t>
      </w:r>
    </w:p>
    <w:p w14:paraId="275C2919" w14:textId="77814CA9" w:rsidR="00BC390B" w:rsidRDefault="00BC390B">
      <w:pPr>
        <w:rPr>
          <w:rtl/>
          <w:lang w:bidi="ar-LB"/>
        </w:rPr>
      </w:pPr>
      <w:r>
        <w:rPr>
          <w:rFonts w:hint="cs"/>
          <w:rtl/>
          <w:lang w:bidi="ar-LB"/>
        </w:rPr>
        <w:t xml:space="preserve">سفر التكوين يشابه مشتلاً، مزروعة فيه بذور المواضيع الأساسية للكتاب المقدس. هو يُري أصل الخليقة، منشأ الإنسان وأساس علاقته بالله. </w:t>
      </w:r>
      <w:r w:rsidR="002C41CD">
        <w:rPr>
          <w:rFonts w:hint="cs"/>
          <w:rtl/>
          <w:lang w:bidi="ar-LB"/>
        </w:rPr>
        <w:t>عدا ذلك تُعرَض أو يُشار فيه مثلاً إلى تحديد موضوع الزواج والعائلة، أصل الخطية والموت، حتمية الذبائح، نشوء الشعوب، نعمة الله وعدالته، حقيقة التبرير، القيامة، الاختيار والبنوة. لهذا فسفر التكوين هو أمر أساسي لفهم كل الأسفار الأخرى في العهدين القديم والجديد.</w:t>
      </w:r>
    </w:p>
    <w:p w14:paraId="3666D632" w14:textId="33B30A2B" w:rsidR="002C41CD" w:rsidRDefault="002C41CD">
      <w:pPr>
        <w:rPr>
          <w:rtl/>
          <w:lang w:bidi="ar-LB"/>
        </w:rPr>
      </w:pPr>
      <w:r>
        <w:rPr>
          <w:rFonts w:hint="cs"/>
          <w:rtl/>
          <w:lang w:bidi="ar-LB"/>
        </w:rPr>
        <w:t>عدا ذلك يحتوي الكتاب على براهين قيمة عن الرب يسوع. إن الرب يسوع بنفسه قال، بأن الكتب (العهد القديم) تشهد عنه (يوحنا 5: 39). إن النبوات عن الرب، آلامه، عمله ومجده بدأت من سفر التكوين وهي تمتد من بعده عبر كل العهد القديم (قارن لوقا 24: 27).</w:t>
      </w:r>
    </w:p>
    <w:p w14:paraId="7699DC4C" w14:textId="05E66F5F" w:rsidR="002C41CD" w:rsidRDefault="002C41CD">
      <w:pPr>
        <w:rPr>
          <w:rtl/>
          <w:lang w:bidi="ar-LB"/>
        </w:rPr>
      </w:pPr>
      <w:r>
        <w:rPr>
          <w:rFonts w:hint="cs"/>
          <w:rtl/>
          <w:lang w:bidi="ar-LB"/>
        </w:rPr>
        <w:t>موضوع ومقدمة سفر التكوين</w:t>
      </w:r>
    </w:p>
    <w:p w14:paraId="744B331A" w14:textId="6F5DE17D" w:rsidR="002C41CD" w:rsidRDefault="002C41CD">
      <w:pPr>
        <w:rPr>
          <w:rtl/>
          <w:lang w:bidi="ar-LB"/>
        </w:rPr>
      </w:pPr>
      <w:r>
        <w:rPr>
          <w:rFonts w:hint="cs"/>
          <w:rtl/>
          <w:lang w:bidi="ar-LB"/>
        </w:rPr>
        <w:t xml:space="preserve">سفر التكوين ينقسم إلى قسمين كبيرين: إصحاح 1 </w:t>
      </w:r>
      <w:r>
        <w:rPr>
          <w:rtl/>
          <w:lang w:bidi="ar-LB"/>
        </w:rPr>
        <w:t>–</w:t>
      </w:r>
      <w:r>
        <w:rPr>
          <w:rFonts w:hint="cs"/>
          <w:rtl/>
          <w:lang w:bidi="ar-LB"/>
        </w:rPr>
        <w:t xml:space="preserve"> 11 وإصحاح 12 </w:t>
      </w:r>
      <w:r>
        <w:rPr>
          <w:rtl/>
          <w:lang w:bidi="ar-LB"/>
        </w:rPr>
        <w:t>–</w:t>
      </w:r>
      <w:r>
        <w:rPr>
          <w:rFonts w:hint="cs"/>
          <w:rtl/>
          <w:lang w:bidi="ar-LB"/>
        </w:rPr>
        <w:t xml:space="preserve"> 50. </w:t>
      </w:r>
      <w:proofErr w:type="spellStart"/>
      <w:r>
        <w:rPr>
          <w:rFonts w:hint="cs"/>
          <w:rtl/>
          <w:lang w:bidi="ar-LB"/>
        </w:rPr>
        <w:t>الإصحاحات</w:t>
      </w:r>
      <w:proofErr w:type="spellEnd"/>
      <w:r>
        <w:rPr>
          <w:rFonts w:hint="cs"/>
          <w:rtl/>
          <w:lang w:bidi="ar-LB"/>
        </w:rPr>
        <w:t xml:space="preserve"> الـ15. الأولى تقدم لنا "تاريخ الكتاب القديم"، بدء سيرة البشر. هذه الإصحاح تتناول فترة زمنية تتراوح الـ 2000 عام. </w:t>
      </w:r>
      <w:r w:rsidR="00035F7F">
        <w:rPr>
          <w:rFonts w:hint="cs"/>
          <w:rtl/>
          <w:lang w:bidi="ar-LB"/>
        </w:rPr>
        <w:t xml:space="preserve">أربعة أحداث رئيسية تترك أثرها على </w:t>
      </w:r>
      <w:proofErr w:type="spellStart"/>
      <w:r w:rsidR="00035F7F">
        <w:rPr>
          <w:rFonts w:hint="cs"/>
          <w:rtl/>
          <w:lang w:bidi="ar-LB"/>
        </w:rPr>
        <w:t>الإصحاحات</w:t>
      </w:r>
      <w:proofErr w:type="spellEnd"/>
      <w:r w:rsidR="00035F7F">
        <w:rPr>
          <w:rFonts w:hint="cs"/>
          <w:rtl/>
          <w:lang w:bidi="ar-LB"/>
        </w:rPr>
        <w:t xml:space="preserve"> من 1 إلى 11 وتمكننا بان نقسمها كالتالي:</w:t>
      </w:r>
    </w:p>
    <w:p w14:paraId="7FA05F0F" w14:textId="07F9E968" w:rsidR="00035F7F" w:rsidRDefault="00035F7F" w:rsidP="00035F7F">
      <w:pPr>
        <w:pStyle w:val="ListParagraph"/>
        <w:numPr>
          <w:ilvl w:val="0"/>
          <w:numId w:val="1"/>
        </w:numPr>
        <w:rPr>
          <w:lang w:bidi="ar-LB"/>
        </w:rPr>
      </w:pPr>
      <w:r>
        <w:rPr>
          <w:rFonts w:hint="cs"/>
          <w:rtl/>
          <w:lang w:bidi="ar-LB"/>
        </w:rPr>
        <w:t>الخليقة (إصحاح 1 و 2)</w:t>
      </w:r>
    </w:p>
    <w:p w14:paraId="197BEC3D" w14:textId="5CE34D8E" w:rsidR="00035F7F" w:rsidRDefault="00035F7F" w:rsidP="00035F7F">
      <w:pPr>
        <w:pStyle w:val="ListParagraph"/>
        <w:numPr>
          <w:ilvl w:val="0"/>
          <w:numId w:val="1"/>
        </w:numPr>
        <w:rPr>
          <w:lang w:bidi="ar-LB"/>
        </w:rPr>
      </w:pPr>
      <w:r>
        <w:rPr>
          <w:rFonts w:hint="cs"/>
          <w:rtl/>
          <w:lang w:bidi="ar-LB"/>
        </w:rPr>
        <w:t xml:space="preserve">السقوط في الخطية وعواقبها (إصحاح 3 </w:t>
      </w:r>
      <w:r>
        <w:rPr>
          <w:rtl/>
          <w:lang w:bidi="ar-LB"/>
        </w:rPr>
        <w:t>–</w:t>
      </w:r>
      <w:r>
        <w:rPr>
          <w:rFonts w:hint="cs"/>
          <w:rtl/>
          <w:lang w:bidi="ar-LB"/>
        </w:rPr>
        <w:t xml:space="preserve"> 6: 7)</w:t>
      </w:r>
    </w:p>
    <w:p w14:paraId="17233075" w14:textId="59B0D03A" w:rsidR="00035F7F" w:rsidRDefault="00035F7F" w:rsidP="00035F7F">
      <w:pPr>
        <w:pStyle w:val="ListParagraph"/>
        <w:numPr>
          <w:ilvl w:val="0"/>
          <w:numId w:val="1"/>
        </w:numPr>
        <w:rPr>
          <w:lang w:bidi="ar-LB"/>
        </w:rPr>
      </w:pPr>
      <w:r>
        <w:rPr>
          <w:rFonts w:hint="cs"/>
          <w:rtl/>
          <w:lang w:bidi="ar-LB"/>
        </w:rPr>
        <w:t xml:space="preserve">قصة نوح والطوفان (إصحاح 6: 8 </w:t>
      </w:r>
      <w:r>
        <w:rPr>
          <w:rtl/>
          <w:lang w:bidi="ar-LB"/>
        </w:rPr>
        <w:t>–</w:t>
      </w:r>
      <w:r>
        <w:rPr>
          <w:rFonts w:hint="cs"/>
          <w:rtl/>
          <w:lang w:bidi="ar-LB"/>
        </w:rPr>
        <w:t xml:space="preserve"> 9: 29)</w:t>
      </w:r>
    </w:p>
    <w:p w14:paraId="5B63E75B" w14:textId="6395F854" w:rsidR="00035F7F" w:rsidRDefault="00035F7F" w:rsidP="00035F7F">
      <w:pPr>
        <w:pStyle w:val="ListParagraph"/>
        <w:numPr>
          <w:ilvl w:val="0"/>
          <w:numId w:val="1"/>
        </w:numPr>
        <w:rPr>
          <w:rtl/>
          <w:lang w:bidi="ar-LB"/>
        </w:rPr>
      </w:pPr>
      <w:r>
        <w:rPr>
          <w:rFonts w:hint="cs"/>
          <w:rtl/>
          <w:lang w:bidi="ar-LB"/>
        </w:rPr>
        <w:t>وصف الفترة من بعد الطوفان (</w:t>
      </w:r>
      <w:hyperlink r:id="rId5" w:anchor=":~:text=Der%20zweite%20Teil%20des%20Buches" w:history="1">
        <w:r w:rsidRPr="00035F7F">
          <w:rPr>
            <w:rStyle w:val="Hyperlink"/>
            <w:rFonts w:hint="cs"/>
            <w:rtl/>
            <w:lang w:bidi="ar-LB"/>
          </w:rPr>
          <w:t>إصحاح</w:t>
        </w:r>
      </w:hyperlink>
      <w:r>
        <w:rPr>
          <w:rFonts w:hint="cs"/>
          <w:rtl/>
          <w:lang w:bidi="ar-LB"/>
        </w:rPr>
        <w:t xml:space="preserve"> 10 و 11)</w:t>
      </w:r>
    </w:p>
    <w:p w14:paraId="30D286EB" w14:textId="77777777" w:rsidR="002C41CD" w:rsidRPr="00BC390B" w:rsidRDefault="002C41CD">
      <w:pPr>
        <w:rPr>
          <w:rFonts w:hint="cs"/>
          <w:lang w:bidi="ar-LB"/>
        </w:rPr>
      </w:pPr>
    </w:p>
    <w:sectPr w:rsidR="002C41CD" w:rsidRPr="00BC39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C62A12"/>
    <w:multiLevelType w:val="hybridMultilevel"/>
    <w:tmpl w:val="07082C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8793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121"/>
    <w:rsid w:val="00035F7F"/>
    <w:rsid w:val="00051645"/>
    <w:rsid w:val="00195121"/>
    <w:rsid w:val="002C41CD"/>
    <w:rsid w:val="00BC390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B6EB8"/>
  <w15:chartTrackingRefBased/>
  <w15:docId w15:val="{120EE435-21B2-4C9E-A960-91ADD27BE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IL"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C390B"/>
    <w:rPr>
      <w:color w:val="0563C1" w:themeColor="hyperlink"/>
      <w:u w:val="single"/>
    </w:rPr>
  </w:style>
  <w:style w:type="character" w:styleId="UnresolvedMention">
    <w:name w:val="Unresolved Mention"/>
    <w:basedOn w:val="DefaultParagraphFont"/>
    <w:uiPriority w:val="99"/>
    <w:semiHidden/>
    <w:unhideWhenUsed/>
    <w:rsid w:val="00BC390B"/>
    <w:rPr>
      <w:color w:val="605E5C"/>
      <w:shd w:val="clear" w:color="auto" w:fill="E1DFDD"/>
    </w:rPr>
  </w:style>
  <w:style w:type="paragraph" w:styleId="ListParagraph">
    <w:name w:val="List Paragraph"/>
    <w:basedOn w:val="Normal"/>
    <w:uiPriority w:val="34"/>
    <w:qFormat/>
    <w:rsid w:val="00035F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kommentare.de/kommentare/817/im-anfa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238</Words>
  <Characters>1362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2</cp:revision>
  <dcterms:created xsi:type="dcterms:W3CDTF">2023-09-02T22:10:00Z</dcterms:created>
  <dcterms:modified xsi:type="dcterms:W3CDTF">2023-09-02T22:33:00Z</dcterms:modified>
</cp:coreProperties>
</file>