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ABC18E" w14:textId="442F7659" w:rsidR="00051645" w:rsidRDefault="00175572">
      <w:pPr>
        <w:rPr>
          <w:rtl/>
          <w:lang w:bidi="ar-LB"/>
        </w:rPr>
      </w:pPr>
      <w:r>
        <w:rPr>
          <w:rtl/>
          <w:lang w:bidi="ar-LB"/>
        </w:rPr>
        <w:fldChar w:fldCharType="begin"/>
      </w:r>
      <w:r>
        <w:rPr>
          <w:lang w:bidi="ar-LB"/>
        </w:rPr>
        <w:instrText>HYPERLINK</w:instrText>
      </w:r>
      <w:r>
        <w:rPr>
          <w:rtl/>
          <w:lang w:bidi="ar-LB"/>
        </w:rPr>
        <w:instrText xml:space="preserve"> "</w:instrText>
      </w:r>
      <w:r>
        <w:rPr>
          <w:lang w:bidi="ar-LB"/>
        </w:rPr>
        <w:instrText>https://www.bibelstudium.de/articles/1289/suende-und-schuld-1.html</w:instrText>
      </w:r>
      <w:r>
        <w:rPr>
          <w:rtl/>
          <w:lang w:bidi="ar-LB"/>
        </w:rPr>
        <w:instrText>"</w:instrText>
      </w:r>
      <w:r>
        <w:rPr>
          <w:rtl/>
          <w:lang w:bidi="ar-LB"/>
        </w:rPr>
      </w:r>
      <w:r>
        <w:rPr>
          <w:rtl/>
          <w:lang w:bidi="ar-LB"/>
        </w:rPr>
        <w:fldChar w:fldCharType="separate"/>
      </w:r>
      <w:r w:rsidRPr="00175572">
        <w:rPr>
          <w:rStyle w:val="Hyperlink"/>
          <w:rtl/>
          <w:lang w:bidi="ar-LB"/>
        </w:rPr>
        <w:t>خطية واثم</w:t>
      </w:r>
      <w:r>
        <w:rPr>
          <w:rtl/>
          <w:lang w:bidi="ar-LB"/>
        </w:rPr>
        <w:fldChar w:fldCharType="end"/>
      </w:r>
    </w:p>
    <w:p w14:paraId="100BCF4E" w14:textId="455BD68C" w:rsidR="00175572" w:rsidRDefault="00175572" w:rsidP="00175572">
      <w:pPr>
        <w:bidi w:val="0"/>
        <w:rPr>
          <w:lang w:bidi="ar-LB"/>
        </w:rPr>
      </w:pPr>
      <w:r w:rsidRPr="00175572">
        <w:rPr>
          <w:lang w:bidi="ar-LB"/>
        </w:rPr>
        <w:t>William Gurnall</w:t>
      </w:r>
    </w:p>
    <w:p w14:paraId="52290E60" w14:textId="2EC95341" w:rsidR="00175572" w:rsidRDefault="00175572">
      <w:pPr>
        <w:rPr>
          <w:rtl/>
          <w:lang w:bidi="ar-LB"/>
        </w:rPr>
      </w:pPr>
      <w:r>
        <w:rPr>
          <w:rFonts w:hint="cs"/>
          <w:rtl/>
          <w:lang w:bidi="ar-LB"/>
        </w:rPr>
        <w:t>"</w:t>
      </w:r>
      <w:r w:rsidRPr="00175572">
        <w:rPr>
          <w:rtl/>
          <w:lang w:bidi="ar-LB"/>
        </w:rPr>
        <w:t>أَمَّا طَرِيقُ الْغَادِرِينَ فَأَوْعَرُ</w:t>
      </w:r>
      <w:r>
        <w:rPr>
          <w:rFonts w:hint="cs"/>
          <w:rtl/>
          <w:lang w:bidi="ar-LB"/>
        </w:rPr>
        <w:t>" (أمثال 13: 15)</w:t>
      </w:r>
    </w:p>
    <w:p w14:paraId="18A0339C" w14:textId="0FF05FC7" w:rsidR="00175572" w:rsidRDefault="00175572">
      <w:pPr>
        <w:rPr>
          <w:rtl/>
          <w:lang w:bidi="ar-LB"/>
        </w:rPr>
      </w:pPr>
      <w:r>
        <w:rPr>
          <w:rFonts w:hint="cs"/>
          <w:rtl/>
          <w:lang w:bidi="ar-LB"/>
        </w:rPr>
        <w:t>أهوال الخطية. النفس في حالتها الخاطئة قد يكون لديها الكثير لكنها لا تتمتع بأي شيء. إن فكرنا بحالتها في عداوتها لله ستكون نقطة مرار في كأس من الأفراح. كل ما لديها رائحته كنار جهنم. ولن يتمتع أحد في جلوسه على مائدة طعام عظيمة إن شم النار القادمة لحرق بيته وحرقه هو بنفسه.</w:t>
      </w:r>
    </w:p>
    <w:p w14:paraId="235DC912" w14:textId="03CB2626" w:rsidR="00175572" w:rsidRDefault="00175572">
      <w:pPr>
        <w:rPr>
          <w:rtl/>
          <w:lang w:bidi="ar-LB"/>
        </w:rPr>
      </w:pPr>
      <w:r>
        <w:rPr>
          <w:rFonts w:hint="cs"/>
          <w:rtl/>
          <w:lang w:bidi="ar-LB"/>
        </w:rPr>
        <w:t>حُب الخطية. الخطية هي ثمر النفس كالأطفال وهم ثمر البطن، ونحن نسرّ بحبها، نعم وربما أكثر منهم؛ لأن الخاطئ باستطاعته أن يضحي بابنه ليحافظ على خطيته (ميخا 6: 7).</w:t>
      </w:r>
    </w:p>
    <w:p w14:paraId="7902FD77" w14:textId="20AADF39" w:rsidR="00175572" w:rsidRDefault="00302B40">
      <w:pPr>
        <w:rPr>
          <w:rFonts w:hint="cs"/>
          <w:lang w:bidi="ar-LB"/>
        </w:rPr>
      </w:pPr>
      <w:proofErr w:type="spellStart"/>
      <w:r>
        <w:rPr>
          <w:rFonts w:hint="cs"/>
          <w:rtl/>
          <w:lang w:bidi="ar-LB"/>
        </w:rPr>
        <w:t>تلذذات</w:t>
      </w:r>
      <w:proofErr w:type="spellEnd"/>
      <w:r>
        <w:rPr>
          <w:rFonts w:hint="cs"/>
          <w:rtl/>
          <w:lang w:bidi="ar-LB"/>
        </w:rPr>
        <w:t xml:space="preserve"> الخطية. </w:t>
      </w:r>
      <w:proofErr w:type="spellStart"/>
      <w:r>
        <w:rPr>
          <w:rFonts w:hint="cs"/>
          <w:rtl/>
          <w:lang w:bidi="ar-LB"/>
        </w:rPr>
        <w:t>تلذذات</w:t>
      </w:r>
      <w:proofErr w:type="spellEnd"/>
      <w:r>
        <w:rPr>
          <w:rFonts w:hint="cs"/>
          <w:rtl/>
          <w:lang w:bidi="ar-LB"/>
        </w:rPr>
        <w:t xml:space="preserve"> الخطية لا بد وأن تكون قصيرة مدتها، لأن الحياة لا يمكن أن تكون طويلة وكلاهما ينتهيان معًا. حتى أنه كثيرًا ما تموت </w:t>
      </w:r>
      <w:proofErr w:type="spellStart"/>
      <w:r>
        <w:rPr>
          <w:rFonts w:hint="cs"/>
          <w:rtl/>
          <w:lang w:bidi="ar-LB"/>
        </w:rPr>
        <w:t>التلذذات</w:t>
      </w:r>
      <w:proofErr w:type="spellEnd"/>
      <w:r>
        <w:rPr>
          <w:rFonts w:hint="cs"/>
          <w:rtl/>
          <w:lang w:bidi="ar-LB"/>
        </w:rPr>
        <w:t xml:space="preserve"> بالخطية قبل الإنسان؛ </w:t>
      </w:r>
      <w:proofErr w:type="spellStart"/>
      <w:r>
        <w:rPr>
          <w:rFonts w:hint="cs"/>
          <w:rtl/>
          <w:lang w:bidi="ar-LB"/>
        </w:rPr>
        <w:t>فالخطاة</w:t>
      </w:r>
      <w:proofErr w:type="spellEnd"/>
      <w:r>
        <w:rPr>
          <w:rFonts w:hint="cs"/>
          <w:rtl/>
          <w:lang w:bidi="ar-LB"/>
        </w:rPr>
        <w:t xml:space="preserve"> يعيشون ليدفنوا أفراحهم في هذا العالم. الدودة تعشش في ضمائرهم قبل أن تعشش في جسمهم بالموت. لكن تأكد بأن التلذذ بالخطية لن يستمر ما بعد هذا العالم. إن الكلمة قد خرجت من فم الله، بأن كل خاطئ "</w:t>
      </w:r>
      <w:r w:rsidRPr="00302B40">
        <w:rPr>
          <w:rtl/>
          <w:lang w:bidi="ar-LB"/>
        </w:rPr>
        <w:t>فِي الْوَجَعِ</w:t>
      </w:r>
      <w:r>
        <w:rPr>
          <w:rFonts w:hint="cs"/>
          <w:rtl/>
          <w:lang w:bidi="ar-LB"/>
        </w:rPr>
        <w:t xml:space="preserve"> (وجع القلب)</w:t>
      </w:r>
      <w:r w:rsidRPr="00302B40">
        <w:rPr>
          <w:rtl/>
          <w:lang w:bidi="ar-LB"/>
        </w:rPr>
        <w:t xml:space="preserve"> تَضْطَجِعُونَ</w:t>
      </w:r>
      <w:r>
        <w:rPr>
          <w:rFonts w:hint="cs"/>
          <w:rtl/>
          <w:lang w:bidi="ar-LB"/>
        </w:rPr>
        <w:t>" (إشعياء 50: 11) وفي وجع القلب ستستيقظون ... إن قلب الإنسان هو للحظة</w:t>
      </w:r>
      <w:r w:rsidR="00885523">
        <w:rPr>
          <w:rFonts w:hint="cs"/>
          <w:rtl/>
          <w:lang w:bidi="ar-LB"/>
        </w:rPr>
        <w:t xml:space="preserve"> فقط</w:t>
      </w:r>
      <w:r>
        <w:rPr>
          <w:rFonts w:hint="cs"/>
          <w:rtl/>
          <w:lang w:bidi="ar-LB"/>
        </w:rPr>
        <w:t xml:space="preserve">؛ </w:t>
      </w:r>
      <w:r w:rsidR="00885523">
        <w:rPr>
          <w:rFonts w:hint="cs"/>
          <w:rtl/>
          <w:lang w:bidi="ar-LB"/>
        </w:rPr>
        <w:t xml:space="preserve">فخطمه في الحوض الصغير </w:t>
      </w:r>
      <w:r w:rsidR="00885523" w:rsidRPr="00885523">
        <w:rPr>
          <w:rtl/>
          <w:lang w:bidi="ar-LB"/>
        </w:rPr>
        <w:t>ومع كل رشفة يظن أنه لن ينفد أبدًا.</w:t>
      </w:r>
      <w:r w:rsidR="00885523" w:rsidRPr="00885523">
        <w:rPr>
          <w:rtl/>
        </w:rPr>
        <w:t xml:space="preserve"> </w:t>
      </w:r>
      <w:r w:rsidR="00885523" w:rsidRPr="00885523">
        <w:rPr>
          <w:rtl/>
          <w:lang w:bidi="ar-LB"/>
        </w:rPr>
        <w:t xml:space="preserve">من يريد أن يحسد الرجل المدان على وجبته </w:t>
      </w:r>
      <w:hyperlink r:id="rId4" w:anchor=":~:text=Wo%20der%20Erhalt%20eines%20Vergn%C3%BCgens%20mit%20dem%20Eingehen%20einer%20Schuld%20verbunden%20ist" w:history="1">
        <w:r w:rsidR="00885523" w:rsidRPr="00885523">
          <w:rPr>
            <w:rStyle w:val="Hyperlink"/>
            <w:rtl/>
            <w:lang w:bidi="ar-LB"/>
          </w:rPr>
          <w:t>الأخيرة</w:t>
        </w:r>
      </w:hyperlink>
      <w:r w:rsidR="00885523" w:rsidRPr="00885523">
        <w:rPr>
          <w:rtl/>
          <w:lang w:bidi="ar-LB"/>
        </w:rPr>
        <w:t>؟</w:t>
      </w:r>
    </w:p>
    <w:sectPr w:rsidR="00175572" w:rsidSect="00EB01C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akkal Majalla">
    <w:panose1 w:val="02000000000000000000"/>
    <w:charset w:val="00"/>
    <w:family w:val="auto"/>
    <w:pitch w:val="variable"/>
    <w:sig w:usb0="A0002027" w:usb1="80000000" w:usb2="00000108" w:usb3="00000000" w:csb0="000000D3"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27"/>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7974"/>
    <w:rsid w:val="00051645"/>
    <w:rsid w:val="001325BA"/>
    <w:rsid w:val="00175572"/>
    <w:rsid w:val="002D7974"/>
    <w:rsid w:val="00302B40"/>
    <w:rsid w:val="005C7D3F"/>
    <w:rsid w:val="0065628F"/>
    <w:rsid w:val="00885523"/>
    <w:rsid w:val="00EB01CA"/>
    <w:rsid w:val="00F739E1"/>
  </w:rsids>
  <m:mathPr>
    <m:mathFont m:val="Cambria Math"/>
    <m:brkBin m:val="before"/>
    <m:brkBinSub m:val="--"/>
    <m:smallFrac m:val="0"/>
    <m:dispDef/>
    <m:lMargin m:val="0"/>
    <m:rMargin m:val="0"/>
    <m:defJc m:val="centerGroup"/>
    <m:wrapIndent m:val="1440"/>
    <m:intLim m:val="subSup"/>
    <m:naryLim m:val="undOvr"/>
  </m:mathPr>
  <w:themeFontLang w:val="en-IL"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EE1890"/>
  <w15:chartTrackingRefBased/>
  <w15:docId w15:val="{A957FD32-6F49-4AB5-86E9-CF421838B1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Sakkal Majalla" w:eastAsiaTheme="minorHAnsi" w:hAnsi="Sakkal Majalla" w:cs="Sakkal Majalla"/>
        <w:sz w:val="28"/>
        <w:szCs w:val="28"/>
        <w:lang w:val="en-US" w:eastAsia="en-US" w:bidi="ar-SA"/>
        <w14:ligatures w14:val="standardContextual"/>
      </w:rPr>
    </w:rPrDefault>
    <w:pPrDefault>
      <w:pPr>
        <w:bidi/>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D797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D797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D7974"/>
    <w:pPr>
      <w:keepNext/>
      <w:keepLines/>
      <w:spacing w:before="160" w:after="80"/>
      <w:outlineLvl w:val="2"/>
    </w:pPr>
    <w:rPr>
      <w:rFonts w:asciiTheme="minorHAnsi" w:eastAsiaTheme="majorEastAsia" w:hAnsiTheme="minorHAnsi" w:cstheme="majorBidi"/>
      <w:color w:val="0F4761" w:themeColor="accent1" w:themeShade="BF"/>
    </w:rPr>
  </w:style>
  <w:style w:type="paragraph" w:styleId="Heading4">
    <w:name w:val="heading 4"/>
    <w:basedOn w:val="Normal"/>
    <w:next w:val="Normal"/>
    <w:link w:val="Heading4Char"/>
    <w:uiPriority w:val="9"/>
    <w:semiHidden/>
    <w:unhideWhenUsed/>
    <w:qFormat/>
    <w:rsid w:val="002D7974"/>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2D7974"/>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2D7974"/>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D7974"/>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D7974"/>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D7974"/>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797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D797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D7974"/>
    <w:rPr>
      <w:rFonts w:asciiTheme="minorHAnsi" w:eastAsiaTheme="majorEastAsia" w:hAnsiTheme="minorHAnsi" w:cstheme="majorBidi"/>
      <w:color w:val="0F4761" w:themeColor="accent1" w:themeShade="BF"/>
    </w:rPr>
  </w:style>
  <w:style w:type="character" w:customStyle="1" w:styleId="Heading4Char">
    <w:name w:val="Heading 4 Char"/>
    <w:basedOn w:val="DefaultParagraphFont"/>
    <w:link w:val="Heading4"/>
    <w:uiPriority w:val="9"/>
    <w:semiHidden/>
    <w:rsid w:val="002D7974"/>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2D7974"/>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2D7974"/>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2D7974"/>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2D7974"/>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2D7974"/>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2D79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79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7974"/>
    <w:pPr>
      <w:numPr>
        <w:ilvl w:val="1"/>
      </w:numPr>
    </w:pPr>
    <w:rPr>
      <w:rFonts w:asciiTheme="minorHAnsi" w:eastAsiaTheme="majorEastAsia" w:hAnsiTheme="minorHAnsi" w:cstheme="majorBidi"/>
      <w:color w:val="595959" w:themeColor="text1" w:themeTint="A6"/>
      <w:spacing w:val="15"/>
    </w:rPr>
  </w:style>
  <w:style w:type="character" w:customStyle="1" w:styleId="SubtitleChar">
    <w:name w:val="Subtitle Char"/>
    <w:basedOn w:val="DefaultParagraphFont"/>
    <w:link w:val="Subtitle"/>
    <w:uiPriority w:val="11"/>
    <w:rsid w:val="002D7974"/>
    <w:rPr>
      <w:rFonts w:asciiTheme="minorHAnsi" w:eastAsiaTheme="majorEastAsia" w:hAnsiTheme="minorHAnsi" w:cstheme="majorBidi"/>
      <w:color w:val="595959" w:themeColor="text1" w:themeTint="A6"/>
      <w:spacing w:val="15"/>
    </w:rPr>
  </w:style>
  <w:style w:type="paragraph" w:styleId="Quote">
    <w:name w:val="Quote"/>
    <w:basedOn w:val="Normal"/>
    <w:next w:val="Normal"/>
    <w:link w:val="QuoteChar"/>
    <w:uiPriority w:val="29"/>
    <w:qFormat/>
    <w:rsid w:val="002D7974"/>
    <w:pPr>
      <w:spacing w:before="160"/>
      <w:jc w:val="center"/>
    </w:pPr>
    <w:rPr>
      <w:i/>
      <w:iCs/>
      <w:color w:val="404040" w:themeColor="text1" w:themeTint="BF"/>
    </w:rPr>
  </w:style>
  <w:style w:type="character" w:customStyle="1" w:styleId="QuoteChar">
    <w:name w:val="Quote Char"/>
    <w:basedOn w:val="DefaultParagraphFont"/>
    <w:link w:val="Quote"/>
    <w:uiPriority w:val="29"/>
    <w:rsid w:val="002D7974"/>
    <w:rPr>
      <w:i/>
      <w:iCs/>
      <w:color w:val="404040" w:themeColor="text1" w:themeTint="BF"/>
    </w:rPr>
  </w:style>
  <w:style w:type="paragraph" w:styleId="ListParagraph">
    <w:name w:val="List Paragraph"/>
    <w:basedOn w:val="Normal"/>
    <w:uiPriority w:val="34"/>
    <w:qFormat/>
    <w:rsid w:val="002D7974"/>
    <w:pPr>
      <w:ind w:left="720"/>
      <w:contextualSpacing/>
    </w:pPr>
  </w:style>
  <w:style w:type="character" w:styleId="IntenseEmphasis">
    <w:name w:val="Intense Emphasis"/>
    <w:basedOn w:val="DefaultParagraphFont"/>
    <w:uiPriority w:val="21"/>
    <w:qFormat/>
    <w:rsid w:val="002D7974"/>
    <w:rPr>
      <w:i/>
      <w:iCs/>
      <w:color w:val="0F4761" w:themeColor="accent1" w:themeShade="BF"/>
    </w:rPr>
  </w:style>
  <w:style w:type="paragraph" w:styleId="IntenseQuote">
    <w:name w:val="Intense Quote"/>
    <w:basedOn w:val="Normal"/>
    <w:next w:val="Normal"/>
    <w:link w:val="IntenseQuoteChar"/>
    <w:uiPriority w:val="30"/>
    <w:qFormat/>
    <w:rsid w:val="002D79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D7974"/>
    <w:rPr>
      <w:i/>
      <w:iCs/>
      <w:color w:val="0F4761" w:themeColor="accent1" w:themeShade="BF"/>
    </w:rPr>
  </w:style>
  <w:style w:type="character" w:styleId="IntenseReference">
    <w:name w:val="Intense Reference"/>
    <w:basedOn w:val="DefaultParagraphFont"/>
    <w:uiPriority w:val="32"/>
    <w:qFormat/>
    <w:rsid w:val="002D7974"/>
    <w:rPr>
      <w:b/>
      <w:bCs/>
      <w:smallCaps/>
      <w:color w:val="0F4761" w:themeColor="accent1" w:themeShade="BF"/>
      <w:spacing w:val="5"/>
    </w:rPr>
  </w:style>
  <w:style w:type="character" w:styleId="Hyperlink">
    <w:name w:val="Hyperlink"/>
    <w:basedOn w:val="DefaultParagraphFont"/>
    <w:uiPriority w:val="99"/>
    <w:unhideWhenUsed/>
    <w:rsid w:val="00175572"/>
    <w:rPr>
      <w:color w:val="467886" w:themeColor="hyperlink"/>
      <w:u w:val="single"/>
    </w:rPr>
  </w:style>
  <w:style w:type="character" w:styleId="UnresolvedMention">
    <w:name w:val="Unresolved Mention"/>
    <w:basedOn w:val="DefaultParagraphFont"/>
    <w:uiPriority w:val="99"/>
    <w:semiHidden/>
    <w:unhideWhenUsed/>
    <w:rsid w:val="0017557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bibelstudium.de/articles/1289/suende-und-schuld-1.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Pages>
  <Words>204</Words>
  <Characters>1168</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Osama Slaieh</dc:creator>
  <cp:keywords/>
  <dc:description/>
  <cp:lastModifiedBy>Osama Slaieh</cp:lastModifiedBy>
  <cp:revision>2</cp:revision>
  <dcterms:created xsi:type="dcterms:W3CDTF">2024-04-20T08:48:00Z</dcterms:created>
  <dcterms:modified xsi:type="dcterms:W3CDTF">2024-04-20T09:12:00Z</dcterms:modified>
</cp:coreProperties>
</file>