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الجدوى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تقييم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السوق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تحليل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السوق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المستهدف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المنافسين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والفرص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المتاحة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تحليل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والعوائد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تقدير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التكاليف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وتكاليف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التشغيل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المتوقعة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وتحديد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العائد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المتوقع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الاستثمار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تقدير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الإيرادات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كيف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للمنصة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تحقيق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الإيرادات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سواء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المبيعات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الجدوى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التقنية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الفنية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تطوير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دراسة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التقنيات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اللازمة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لتطوير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المنصة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تطبيقات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الجوال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المواقع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أنظمة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الأمن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دراسة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المخاطر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المحتملة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وتطوير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للحماية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التصميم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والتطوير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تقييم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إمكانية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تصميم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واجهة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وتجربة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UI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UX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سهولة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وكفاءة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الأداء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الجدوى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الاجتماعية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تأثير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المنصة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المجتمع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المجتمع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المحلي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الاعمال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الصغيرة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وتعزيز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الغذاء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الصحية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الرضا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الخدمة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وتقييم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الخدمة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المقدمة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المنصة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الجدوى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التسويقية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990" w:hanging="360"/>
        <w:rPr/>
      </w:pPr>
      <w:r w:rsidDel="00000000" w:rsidR="00000000" w:rsidRPr="00000000">
        <w:rPr>
          <w:b w:val="1"/>
          <w:rtl w:val="1"/>
        </w:rPr>
        <w:t xml:space="preserve">استراتيجية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التسويق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تطوير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استراتيجية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تسويقية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للوصول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الجمهور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المستهدف</w:t>
      </w:r>
      <w:r w:rsidDel="00000000" w:rsidR="00000000" w:rsidRPr="00000000">
        <w:rPr>
          <w:sz w:val="24"/>
          <w:szCs w:val="24"/>
          <w:rtl w:val="1"/>
        </w:rPr>
        <w:t xml:space="preserve"> ،</w:t>
      </w:r>
      <w:r w:rsidDel="00000000" w:rsidR="00000000" w:rsidRPr="00000000">
        <w:rPr>
          <w:sz w:val="24"/>
          <w:szCs w:val="24"/>
          <w:rtl w:val="1"/>
        </w:rPr>
        <w:t xml:space="preserve">دراسة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السوق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المحتمل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واحتياجات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وتفضيلات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دراسة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المنافسة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الأخرى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المشابهة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ومعرفة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مايميز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منصتك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عنهم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99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تحديد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احتياجات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واهتمامات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المستهدفين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الجدوى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القانونية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99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الامتثال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واللوائح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فحص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القوانين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بحجز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الانترنت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والسلامة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99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الفكرية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التأليف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الجدوى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التشغيلية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وإدارة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الطوارئ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للتعامل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المتوقعة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9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15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87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1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0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15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87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1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0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