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trHeight w:val="8500" w:hRule="atLeast"/>
        </w:trPr>
        <w:tc>
          <w:tcPr>
            <w:tcW w:type="dxa" w:w="10282"/>
            <w:shd w:fill="151419"/>
          </w:tcPr>
          <w:p>
            <w:pPr>
              <w:spacing w:after="160"/>
            </w:pPr>
            <w:r>
              <w:rPr>
                <w:rFonts w:ascii="Inter" w:hAnsi="Inter"/>
                <w:b/>
                <w:i w:val="0"/>
                <w:color w:val="FAF7F1"/>
                <w:sz w:val="62"/>
              </w:rPr>
              <w:t>CDSS-CR</w:t>
            </w:r>
          </w:p>
          <w:p>
            <w:r>
              <w:rPr>
                <w:rFonts w:ascii="Inter" w:hAnsi="Inter"/>
                <w:b/>
                <w:i w:val="0"/>
                <w:color w:val="B89BC4"/>
                <w:sz w:val="36"/>
              </w:rPr>
              <w:t>Documentación de integración actual</w:t>
            </w:r>
          </w:p>
          <w:p>
            <w:pPr>
              <w:spacing w:before="360"/>
            </w:pPr>
            <w:r>
              <w:rPr>
                <w:rFonts w:ascii="Inter" w:hAnsi="Inter"/>
                <w:b w:val="0"/>
                <w:i w:val="0"/>
                <w:color w:val="E9E1D7"/>
                <w:sz w:val="22"/>
              </w:rPr>
              <w:t>Resumen técnico breve del prototipo desarrollado hasta la fecha</w:t>
            </w:r>
          </w:p>
          <w:p>
            <w:pPr>
              <w:spacing w:before="560"/>
            </w:pPr>
            <w:r>
              <w:rPr>
                <w:rFonts w:ascii="Inter" w:hAnsi="Inter"/>
                <w:b/>
                <w:i w:val="0"/>
                <w:color w:val="FAF7F1"/>
                <w:sz w:val="20"/>
              </w:rPr>
              <w:t>Estado: Clinical Context Builder v1 finalizado localmente</w:t>
            </w:r>
          </w:p>
          <w:p>
            <w:r>
              <w:rPr>
                <w:rFonts w:ascii="Inter" w:hAnsi="Inter"/>
                <w:b w:val="0"/>
                <w:i w:val="0"/>
                <w:color w:val="B89BC4"/>
                <w:sz w:val="19"/>
              </w:rPr>
              <w:t>Fecha: 25 de septiembre de 2026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Inter" w:hAnsi="Inter"/>
          <w:b/>
          <w:i w:val="0"/>
          <w:color w:val="775382"/>
          <w:sz w:val="18"/>
        </w:rPr>
        <w:t>01</w:t>
      </w:r>
    </w:p>
    <w:p>
      <w:pPr>
        <w:spacing w:after="60"/>
        <w:pBdr>
          <w:bottom w:val="single" w:sz="12" w:space="4" w:color="775382"/>
        </w:pBdr>
      </w:pPr>
      <w:r>
        <w:rPr>
          <w:rFonts w:ascii="Inter" w:hAnsi="Inter"/>
          <w:b/>
          <w:i w:val="0"/>
          <w:color w:val="151419"/>
          <w:sz w:val="40"/>
        </w:rPr>
        <w:t>Resumen del proyecto</w:t>
      </w:r>
    </w:p>
    <w:p>
      <w:pPr>
        <w:spacing w:after="200"/>
      </w:pPr>
      <w:r>
        <w:rPr>
          <w:rFonts w:ascii="Inter" w:hAnsi="Inter"/>
          <w:b w:val="0"/>
          <w:i w:val="0"/>
          <w:color w:val="6D6672"/>
          <w:sz w:val="19"/>
        </w:rPr>
        <w:t>CDSS-CR es un prototipo de soporte a decisiones clínicas orientado a seguridad de medicación y contexto clínico.</w:t>
      </w:r>
    </w:p>
    <w:p>
      <w:pPr>
        <w:spacing w:after="100" w:line="252" w:lineRule="auto"/>
      </w:pPr>
      <w:r>
        <w:rPr>
          <w:rFonts w:ascii="Inter" w:hAnsi="Inter"/>
          <w:b/>
          <w:i w:val="0"/>
          <w:color w:val="151419"/>
          <w:sz w:val="21"/>
        </w:rPr>
        <w:t xml:space="preserve">Objetivo. </w:t>
      </w:r>
      <w:r>
        <w:rPr>
          <w:rFonts w:ascii="Inter" w:hAnsi="Inter"/>
          <w:b w:val="0"/>
          <w:i w:val="0"/>
          <w:color w:val="35323C"/>
          <w:sz w:val="21"/>
        </w:rPr>
        <w:t xml:space="preserve"> El sistema está diseñado para reunir datos clínicos sintéticos, validar su disponibilidad, construir un contexto evaluable y, en fases posteriores, ejecutar reglas determinísticas que produzcan hallazgos trazables.</w:t>
      </w:r>
    </w:p>
    <w:p>
      <w:pPr>
        <w:spacing w:after="100" w:line="252" w:lineRule="auto"/>
      </w:pPr>
      <w:r>
        <w:rPr>
          <w:rFonts w:ascii="Inter" w:hAnsi="Inter"/>
          <w:b/>
          <w:i w:val="0"/>
          <w:color w:val="151419"/>
          <w:sz w:val="21"/>
        </w:rPr>
        <w:t xml:space="preserve">Principio de arquitectura. </w:t>
      </w:r>
      <w:r>
        <w:rPr>
          <w:rFonts w:ascii="Inter" w:hAnsi="Inter"/>
          <w:b w:val="0"/>
          <w:i w:val="0"/>
          <w:color w:val="35323C"/>
          <w:sz w:val="21"/>
        </w:rPr>
        <w:t xml:space="preserve"> La IA no constituye la fuente de verdad clínica. Su papel previsto es únicamente explicar o sintetizar resultados generados previamente por lógica determinística.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E5F1"/>
            <w:tcBorders>
              <w:top w:val="single" w:sz="8" w:color="B89BC4"/>
              <w:left w:val="single" w:sz="8" w:color="B89BC4"/>
              <w:bottom w:val="single" w:sz="8" w:color="B89BC4"/>
              <w:right w:val="single" w:sz="8" w:color="B89BC4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21"/>
              </w:rPr>
              <w:t>Principio central</w:t>
            </w:r>
          </w:p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El sistema apoya la decisión. El profesional toma la decisión.</w:t>
            </w:r>
          </w:p>
        </w:tc>
      </w:tr>
    </w:tbl>
    <w:p>
      <w:r>
        <w:rPr>
          <w:rFonts w:ascii="Inter" w:hAnsi="Inter"/>
          <w:b/>
          <w:i w:val="0"/>
          <w:color w:val="4D2F5C"/>
          <w:sz w:val="26"/>
        </w:rPr>
        <w:t>Tecnologías principales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React + TypeScript + Vite para la aplicación web.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Zod para validación de esquemas y boundaries.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JSON Server / db.json como backend sintético del prototipo.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json-rules-engine como infraestructura prevista para reglas determinísticas.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TanStack Query/Table para acceso y visualización de datos.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Vitest, React Testing Library, Playwright y Storybook para calidad y pruebas.</w:t>
      </w:r>
    </w:p>
    <w:p>
      <w:r>
        <w:rPr>
          <w:rFonts w:ascii="Inter" w:hAnsi="Inter"/>
          <w:b/>
          <w:i w:val="0"/>
          <w:color w:val="4D2F5C"/>
          <w:sz w:val="26"/>
        </w:rPr>
        <w:t>Identidad visual</w:t>
      </w:r>
    </w:p>
    <w:p>
      <w:pPr>
        <w:spacing w:after="100" w:line="252" w:lineRule="auto"/>
      </w:pPr>
      <w:r>
        <w:rPr>
          <w:rFonts w:ascii="Inter" w:hAnsi="Inter"/>
          <w:b/>
          <w:i w:val="0"/>
          <w:color w:val="151419"/>
          <w:sz w:val="21"/>
        </w:rPr>
        <w:t xml:space="preserve">Diseño. </w:t>
      </w:r>
      <w:r>
        <w:rPr>
          <w:rFonts w:ascii="Inter" w:hAnsi="Inter"/>
          <w:b w:val="0"/>
          <w:i w:val="0"/>
          <w:color w:val="35323C"/>
          <w:sz w:val="21"/>
        </w:rPr>
        <w:t xml:space="preserve"> El sistema visual aprobado utiliza Graphite + Bone + Aubergine. Los colores clínicos están separados de la marca para evitar que un color de identidad se interprete como severidad o seguridad.</w:t>
      </w:r>
    </w:p>
    <w:p>
      <w:r>
        <w:br w:type="page"/>
      </w:r>
    </w:p>
    <w:p>
      <w:pPr>
        <w:spacing w:after="20"/>
      </w:pPr>
      <w:r>
        <w:rPr>
          <w:rFonts w:ascii="Inter" w:hAnsi="Inter"/>
          <w:b/>
          <w:i w:val="0"/>
          <w:color w:val="775382"/>
          <w:sz w:val="18"/>
        </w:rPr>
        <w:t>02</w:t>
      </w:r>
    </w:p>
    <w:p>
      <w:pPr>
        <w:spacing w:after="60"/>
        <w:pBdr>
          <w:bottom w:val="single" w:sz="12" w:space="4" w:color="775382"/>
        </w:pBdr>
      </w:pPr>
      <w:r>
        <w:rPr>
          <w:rFonts w:ascii="Inter" w:hAnsi="Inter"/>
          <w:b/>
          <w:i w:val="0"/>
          <w:color w:val="151419"/>
          <w:sz w:val="40"/>
        </w:rPr>
        <w:t>Arquitectura integrada</w:t>
      </w:r>
    </w:p>
    <w:p>
      <w:pPr>
        <w:spacing w:after="200"/>
      </w:pPr>
      <w:r>
        <w:rPr>
          <w:rFonts w:ascii="Inter" w:hAnsi="Inter"/>
          <w:b w:val="0"/>
          <w:i w:val="0"/>
          <w:color w:val="6D6672"/>
          <w:sz w:val="19"/>
        </w:rPr>
        <w:t>La arquitectura actual separa datos, contexto clínico, lógica determinística y presentación.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4EFE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9"/>
              </w:rPr>
              <w:t>Datos sintéticos</w:t>
            </w:r>
          </w:p>
        </w:tc>
        <w:tc>
          <w:tcPr>
            <w:tcW w:type="dxa" w:w="5141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Pacientes, medicamentos, exposiciones, alergias, condiciones y observaciones.</w:t>
            </w:r>
          </w:p>
        </w:tc>
      </w:tr>
      <w:tr>
        <w:tc>
          <w:tcPr>
            <w:tcW w:type="dxa" w:w="5141"/>
            <w:shd w:fill="F4EFE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9"/>
              </w:rPr>
              <w:t>MedicationExposure</w:t>
            </w:r>
          </w:p>
        </w:tc>
        <w:tc>
          <w:tcPr>
            <w:tcW w:type="dxa" w:w="5141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Relaciona explícitamente paciente + medicamento + contexto temporal.</w:t>
            </w:r>
          </w:p>
        </w:tc>
      </w:tr>
      <w:tr>
        <w:tc>
          <w:tcPr>
            <w:tcW w:type="dxa" w:w="5141"/>
            <w:shd w:fill="F4EFE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9"/>
              </w:rPr>
              <w:t>ClinicalContextSourceInput</w:t>
            </w:r>
          </w:p>
        </w:tc>
        <w:tc>
          <w:tcPr>
            <w:tcW w:type="dxa" w:w="5141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Boundary de entrada para construir un contexto clínico desde registros vinculados.</w:t>
            </w:r>
          </w:p>
        </w:tc>
      </w:tr>
      <w:tr>
        <w:tc>
          <w:tcPr>
            <w:tcW w:type="dxa" w:w="5141"/>
            <w:shd w:fill="F4EFE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9"/>
              </w:rPr>
              <w:t>Clinical Context Builder</w:t>
            </w:r>
          </w:p>
        </w:tc>
        <w:tc>
          <w:tcPr>
            <w:tcW w:type="dxa" w:w="5141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Construye y valida ClinicalContext de forma determinística y sin efectos secundarios.</w:t>
            </w:r>
          </w:p>
        </w:tc>
      </w:tr>
      <w:tr>
        <w:tc>
          <w:tcPr>
            <w:tcW w:type="dxa" w:w="5141"/>
            <w:shd w:fill="F4EFE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9"/>
              </w:rPr>
              <w:t>Required Data Gate</w:t>
            </w:r>
          </w:p>
        </w:tc>
        <w:tc>
          <w:tcPr>
            <w:tcW w:type="dxa" w:w="5141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Ya existe la base de evaluación de disponibilidad; su integración completa es el siguiente hito.</w:t>
            </w:r>
          </w:p>
        </w:tc>
      </w:tr>
      <w:tr>
        <w:tc>
          <w:tcPr>
            <w:tcW w:type="dxa" w:w="5141"/>
            <w:shd w:fill="F4EFE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9"/>
              </w:rPr>
              <w:t>Rules / Findings</w:t>
            </w:r>
          </w:p>
        </w:tc>
        <w:tc>
          <w:tcPr>
            <w:tcW w:type="dxa" w:w="5141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Modelos estructurales definidos; evaluación clínica real todavía no implementada.</w:t>
            </w:r>
          </w:p>
        </w:tc>
      </w:tr>
      <w:tr>
        <w:tc>
          <w:tcPr>
            <w:tcW w:type="dxa" w:w="5141"/>
            <w:shd w:fill="F4EFE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9"/>
              </w:rPr>
              <w:t>UI / AI</w:t>
            </w:r>
          </w:p>
        </w:tc>
        <w:tc>
          <w:tcPr>
            <w:tcW w:type="dxa" w:w="5141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UI clínica final e IA explicativa permanecen fuera del alcance actual.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F8F2"/>
            <w:tcBorders>
              <w:top w:val="single" w:sz="8" w:color="B97821"/>
              <w:left w:val="single" w:sz="8" w:color="B97821"/>
              <w:bottom w:val="single" w:sz="8" w:color="B97821"/>
              <w:right w:val="single" w:sz="8" w:color="B97821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21"/>
              </w:rPr>
              <w:t>Invariante de seguridad de datos</w:t>
            </w:r>
          </w:p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UNKNOWN, MISSING, STALE y UNAVAILABLE nunca deben interpretarse como NORMAL o AVAILABLE.</w:t>
            </w:r>
          </w:p>
        </w:tc>
      </w:tr>
    </w:tbl>
    <w:p>
      <w:r>
        <w:rPr>
          <w:rFonts w:ascii="Inter" w:hAnsi="Inter"/>
          <w:b/>
          <w:i w:val="0"/>
          <w:color w:val="4D2F5C"/>
          <w:sz w:val="26"/>
        </w:rPr>
        <w:t>Flujo lógico actual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Fuente sintética / fixtures -&gt; ClinicalContextSourceInput.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ClinicalContextSourceInput -&gt; buildClinicalContext().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buildClinicalContext() -&gt; ClinicalContext canónico.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ClinicalContext -&gt; Required Data Gate (siguiente integración).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Reglas determinísticas -&gt; Findings (fases posteriores).</w:t>
      </w:r>
    </w:p>
    <w:p>
      <w:r>
        <w:br w:type="page"/>
      </w:r>
    </w:p>
    <w:p>
      <w:pPr>
        <w:spacing w:after="20"/>
      </w:pPr>
      <w:r>
        <w:rPr>
          <w:rFonts w:ascii="Inter" w:hAnsi="Inter"/>
          <w:b/>
          <w:i w:val="0"/>
          <w:color w:val="775382"/>
          <w:sz w:val="18"/>
        </w:rPr>
        <w:t>03</w:t>
      </w:r>
    </w:p>
    <w:p>
      <w:pPr>
        <w:spacing w:after="60"/>
        <w:pBdr>
          <w:bottom w:val="single" w:sz="12" w:space="4" w:color="775382"/>
        </w:pBdr>
      </w:pPr>
      <w:r>
        <w:rPr>
          <w:rFonts w:ascii="Inter" w:hAnsi="Inter"/>
          <w:b/>
          <w:i w:val="0"/>
          <w:color w:val="151419"/>
          <w:sz w:val="40"/>
        </w:rPr>
        <w:t>Integraciones completadas</w:t>
      </w:r>
    </w:p>
    <w:p>
      <w:pPr>
        <w:spacing w:after="200"/>
      </w:pPr>
      <w:r>
        <w:rPr>
          <w:rFonts w:ascii="Inter" w:hAnsi="Inter"/>
          <w:b w:val="0"/>
          <w:i w:val="0"/>
          <w:color w:val="6D6672"/>
          <w:sz w:val="19"/>
        </w:rPr>
        <w:t>Los siguientes hitos representan la base técnica ya construida y validada.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51419"/>
          </w:tcPr>
          <w:p>
            <w:r>
              <w:rPr>
                <w:rFonts w:ascii="Inter" w:hAnsi="Inter"/>
                <w:b/>
                <w:i w:val="0"/>
                <w:color w:val="FAF7F1"/>
                <w:sz w:val="18"/>
              </w:rPr>
              <w:t>Hito</w:t>
            </w:r>
          </w:p>
        </w:tc>
        <w:tc>
          <w:tcPr>
            <w:tcW w:type="dxa" w:w="3427"/>
            <w:shd w:fill="151419"/>
          </w:tcPr>
          <w:p>
            <w:r>
              <w:rPr>
                <w:rFonts w:ascii="Inter" w:hAnsi="Inter"/>
                <w:b/>
                <w:i w:val="0"/>
                <w:color w:val="FAF7F1"/>
                <w:sz w:val="18"/>
              </w:rPr>
              <w:t>Estado</w:t>
            </w:r>
          </w:p>
        </w:tc>
        <w:tc>
          <w:tcPr>
            <w:tcW w:type="dxa" w:w="3427"/>
            <w:shd w:fill="151419"/>
          </w:tcPr>
          <w:p>
            <w:r>
              <w:rPr>
                <w:rFonts w:ascii="Inter" w:hAnsi="Inter"/>
                <w:b/>
                <w:i w:val="0"/>
                <w:color w:val="FAF7F1"/>
                <w:sz w:val="18"/>
              </w:rPr>
              <w:t>Resultado</w:t>
            </w:r>
          </w:p>
        </w:tc>
      </w:tr>
      <w:tr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8"/>
              </w:rPr>
              <w:t>Infraestructura de agentes y Prompt Gate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18"/>
              </w:rPr>
              <w:t>Completo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8"/>
              </w:rPr>
              <w:t>Contrato de prompts, rule router, context packs, perfiles de herramientas y documentación controlada.</w:t>
            </w:r>
          </w:p>
        </w:tc>
      </w:tr>
      <w:tr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8"/>
              </w:rPr>
              <w:t>Sistema de diseño v0.6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18"/>
              </w:rPr>
              <w:t>Completo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8"/>
              </w:rPr>
              <w:t>Graphite + Bone + Aubergine, Inter + Source Serif 4 y estados clínicos diferenciados.</w:t>
            </w:r>
          </w:p>
        </w:tc>
      </w:tr>
      <w:tr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8"/>
              </w:rPr>
              <w:t>Domain Model v1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18"/>
              </w:rPr>
              <w:t>Completo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8"/>
              </w:rPr>
              <w:t>Patient, Medication, Allergy, Condition, Observation, ClinicalContext, RuleDefinition, Finding y AuditEvent.</w:t>
            </w:r>
          </w:p>
        </w:tc>
      </w:tr>
      <w:tr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8"/>
              </w:rPr>
              <w:t>Synthetic Clinical Scenarios v1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18"/>
              </w:rPr>
              <w:t>Completo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8"/>
              </w:rPr>
              <w:t>SYN-001 a SYN-008 con escenarios complejos, polifarmacia y múltiples estados de disponibilidad.</w:t>
            </w:r>
          </w:p>
        </w:tc>
      </w:tr>
      <w:tr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8"/>
              </w:rPr>
              <w:t>Medication Exposure Boundary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18"/>
              </w:rPr>
              <w:t>Completo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8"/>
              </w:rPr>
              <w:t>39 exposiciones sintéticas con patientId, medicationId, chronic/acute/unknown y estado.</w:t>
            </w:r>
          </w:p>
        </w:tc>
      </w:tr>
      <w:tr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151419"/>
                <w:sz w:val="18"/>
              </w:rPr>
              <w:t>Clinical Context Builder v1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18"/>
              </w:rPr>
              <w:t>Finalizado localmente</w:t>
            </w:r>
          </w:p>
        </w:tc>
        <w:tc>
          <w:tcPr>
            <w:tcW w:type="dxa" w:w="3427"/>
            <w:tcBorders>
              <w:top w:val="single" w:sz="4" w:color="E9E1D7"/>
              <w:left w:val="single" w:sz="4" w:color="E9E1D7"/>
              <w:bottom w:val="single" w:sz="4" w:color="E9E1D7"/>
              <w:right w:val="single" w:sz="4" w:color="E9E1D7"/>
            </w:tcBorders>
          </w:tcPr>
          <w:p>
            <w:r>
              <w:rPr>
                <w:rFonts w:ascii="Inter" w:hAnsi="Inter"/>
                <w:b w:val="0"/>
                <w:i w:val="0"/>
                <w:color w:val="35323C"/>
                <w:sz w:val="18"/>
              </w:rPr>
              <w:t>Construcción determinística de ClinicalContext preservando MedicationExposure y data availability.</w:t>
            </w:r>
          </w:p>
        </w:tc>
      </w:tr>
    </w:tbl>
    <w:p>
      <w:r>
        <w:rPr>
          <w:rFonts w:ascii="Inter" w:hAnsi="Inter"/>
          <w:b/>
          <w:i w:val="0"/>
          <w:color w:val="4D2F5C"/>
          <w:sz w:val="26"/>
        </w:rPr>
        <w:t>Caso clínico de referencia</w:t>
      </w:r>
    </w:p>
    <w:p>
      <w:pPr>
        <w:spacing w:after="100" w:line="252" w:lineRule="auto"/>
      </w:pPr>
      <w:r>
        <w:rPr>
          <w:rFonts w:ascii="Inter" w:hAnsi="Inter"/>
          <w:b w:val="0"/>
          <w:i w:val="0"/>
          <w:color w:val="35323C"/>
          <w:sz w:val="21"/>
        </w:rPr>
        <w:t xml:space="preserve"> Se utilizó como referencia estructural un caso con paciente masculino de 65 años, hipertensión, ERC estadio 3, fibrilación auricular con respuesta ventricular rápida, tratamiento crónico con enalapril, furosemida y espironolactona, y amiodarona añadida durante el manejo agudo.</w:t>
      </w:r>
    </w:p>
    <w:p>
      <w:pPr>
        <w:spacing w:after="100" w:line="252" w:lineRule="auto"/>
      </w:pPr>
      <w:r>
        <w:rPr>
          <w:rFonts w:ascii="Inter" w:hAnsi="Inter"/>
          <w:b w:val="0"/>
          <w:i w:val="0"/>
          <w:color w:val="35323C"/>
          <w:sz w:val="21"/>
        </w:rPr>
        <w:t xml:space="preserve"> Los casos sintéticos posteriores se diseñaron con un nivel de complejidad similar o superior, sin convertir esa estructura en una conclusión clínica automática.</w:t>
      </w:r>
    </w:p>
    <w:p>
      <w:r>
        <w:br w:type="page"/>
      </w:r>
    </w:p>
    <w:p>
      <w:pPr>
        <w:spacing w:after="20"/>
      </w:pPr>
      <w:r>
        <w:rPr>
          <w:rFonts w:ascii="Inter" w:hAnsi="Inter"/>
          <w:b/>
          <w:i w:val="0"/>
          <w:color w:val="775382"/>
          <w:sz w:val="18"/>
        </w:rPr>
        <w:t>04</w:t>
      </w:r>
    </w:p>
    <w:p>
      <w:pPr>
        <w:spacing w:after="60"/>
        <w:pBdr>
          <w:bottom w:val="single" w:sz="12" w:space="4" w:color="775382"/>
        </w:pBdr>
      </w:pPr>
      <w:r>
        <w:rPr>
          <w:rFonts w:ascii="Inter" w:hAnsi="Inter"/>
          <w:b/>
          <w:i w:val="0"/>
          <w:color w:val="151419"/>
          <w:sz w:val="40"/>
        </w:rPr>
        <w:t>Modelo de datos clínicos y escenarios</w:t>
      </w:r>
    </w:p>
    <w:p>
      <w:pPr>
        <w:spacing w:after="200"/>
      </w:pPr>
      <w:r>
        <w:rPr>
          <w:rFonts w:ascii="Inter" w:hAnsi="Inter"/>
          <w:b w:val="0"/>
          <w:i w:val="0"/>
          <w:color w:val="6D6672"/>
          <w:sz w:val="19"/>
        </w:rPr>
        <w:t>Los datos se mantienen 100% sintéticos y trazables durante el prototipo.</w:t>
      </w:r>
    </w:p>
    <w:p>
      <w:r>
        <w:rPr>
          <w:rFonts w:ascii="Inter" w:hAnsi="Inter"/>
          <w:b/>
          <w:i w:val="0"/>
          <w:color w:val="4D2F5C"/>
          <w:sz w:val="26"/>
        </w:rPr>
        <w:t>Entidades principales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Patient: identidad sintética, edad y género.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Medication: registro de medicamento/régimen del prototipo (código, nombre, dosis y vía).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MedicationExposure: relación temporal específica entre paciente y medicamento.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Allergy, Condition y Observation: datos clínicos vinculados al paciente.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ClinicalDataPoint: valor clínico + estado de disponibilidad + timestamp/source.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ClinicalContext: snapshot derivado y validado utilizado para evaluación.</w:t>
      </w:r>
    </w:p>
    <w:p>
      <w:r>
        <w:rPr>
          <w:rFonts w:ascii="Inter" w:hAnsi="Inter"/>
          <w:b/>
          <w:i w:val="0"/>
          <w:color w:val="4D2F5C"/>
          <w:sz w:val="26"/>
        </w:rPr>
        <w:t>Escenarios sintéticos</w:t>
      </w:r>
    </w:p>
    <w:p>
      <w:pPr>
        <w:spacing w:after="100" w:line="252" w:lineRule="auto"/>
      </w:pPr>
      <w:r>
        <w:rPr>
          <w:rFonts w:ascii="Inter" w:hAnsi="Inter"/>
          <w:b w:val="0"/>
          <w:i w:val="0"/>
          <w:color w:val="35323C"/>
          <w:sz w:val="21"/>
        </w:rPr>
        <w:t xml:space="preserve"> El catálogo contiene ocho escenarios (SYN-001 a SYN-008). Incluyen desde un control basal hasta casos con alergias, polifarmacia, función renal faltante o desactualizada, prescripciones concurrentes, múltiples preocupaciones simultáneas y datos en estados AVAILABLE, MISSING, STALE, UNKNOWN y UNAVAILABLE.</w:t>
      </w:r>
    </w:p>
    <w:p>
      <w:r>
        <w:rPr>
          <w:rFonts w:ascii="Inter" w:hAnsi="Inter"/>
          <w:b/>
          <w:i w:val="0"/>
          <w:color w:val="4D2F5C"/>
          <w:sz w:val="26"/>
        </w:rPr>
        <w:t>Estado de db.json</w:t>
      </w:r>
    </w:p>
    <w:p>
      <w:pPr>
        <w:spacing w:after="100" w:line="252" w:lineRule="auto"/>
      </w:pPr>
      <w:r>
        <w:rPr>
          <w:rFonts w:ascii="Inter" w:hAnsi="Inter"/>
          <w:b w:val="0"/>
          <w:i w:val="0"/>
          <w:color w:val="35323C"/>
          <w:sz w:val="21"/>
        </w:rPr>
        <w:t xml:space="preserve"> Actualmente db.json almacena registros sintéticos normalizados de pacientes, medicamentos, medicationExposures, alergias, condiciones y observaciones. La normalización completa de escenarios y ClinicalDataPoints en db.json se realizará en una fase posterior junto con la integración del adapter.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E5F1"/>
            <w:tcBorders>
              <w:top w:val="single" w:sz="8" w:color="B89BC4"/>
              <w:left w:val="single" w:sz="8" w:color="B89BC4"/>
              <w:bottom w:val="single" w:sz="8" w:color="B89BC4"/>
              <w:right w:val="single" w:sz="8" w:color="B89BC4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21"/>
              </w:rPr>
              <w:t>Dirección acordada</w:t>
            </w:r>
          </w:p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db.json será la fuente sintética normalizada; el Clinical Context Builder construirá el snapshot; las reglas evaluarán; Findings registrará el resultado; la UI presentará la información.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Inter" w:hAnsi="Inter"/>
          <w:b/>
          <w:i w:val="0"/>
          <w:color w:val="775382"/>
          <w:sz w:val="18"/>
        </w:rPr>
        <w:t>05</w:t>
      </w:r>
    </w:p>
    <w:p>
      <w:pPr>
        <w:spacing w:after="60"/>
        <w:pBdr>
          <w:bottom w:val="single" w:sz="12" w:space="4" w:color="775382"/>
        </w:pBdr>
      </w:pPr>
      <w:r>
        <w:rPr>
          <w:rFonts w:ascii="Inter" w:hAnsi="Inter"/>
          <w:b/>
          <w:i w:val="0"/>
          <w:color w:val="151419"/>
          <w:sz w:val="40"/>
        </w:rPr>
        <w:t>Calidad, seguridad y próximos pasos</w:t>
      </w:r>
    </w:p>
    <w:p>
      <w:pPr>
        <w:spacing w:after="200"/>
      </w:pPr>
      <w:r>
        <w:rPr>
          <w:rFonts w:ascii="Inter" w:hAnsi="Inter"/>
          <w:b w:val="0"/>
          <w:i w:val="0"/>
          <w:color w:val="6D6672"/>
          <w:sz w:val="19"/>
        </w:rPr>
        <w:t>El proyecto se está construyendo por hitos pequeños y verificables para evitar mezclar responsabilidades.</w:t>
      </w:r>
    </w:p>
    <w:p>
      <w:r>
        <w:rPr>
          <w:rFonts w:ascii="Inter" w:hAnsi="Inter"/>
          <w:b/>
          <w:i w:val="0"/>
          <w:color w:val="4D2F5C"/>
          <w:sz w:val="26"/>
        </w:rPr>
        <w:t>Pruebas actuales</w:t>
      </w:r>
    </w:p>
    <w:p>
      <w:pPr>
        <w:spacing w:after="100" w:line="252" w:lineRule="auto"/>
      </w:pPr>
      <w:r>
        <w:rPr>
          <w:rFonts w:ascii="Inter" w:hAnsi="Inter"/>
          <w:b w:val="0"/>
          <w:i w:val="0"/>
          <w:color w:val="35323C"/>
          <w:sz w:val="21"/>
        </w:rPr>
        <w:t xml:space="preserve"> En la última verificación del Clinical Context Builder se reportaron 86 pruebas pasando, junto con lint, build y git diff check sin errores.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Validación Zod de entradas y salidas.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Integridad de referencias patientId / medicationId.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Preservación de chronic / acute / unknown.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Preservación exacta de MISSING, STALE, UNKNOWN y UNAVAILABLE.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Determinismo, pureza y no mutación de fixtures.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Rechazo de registros cruzados entre pacientes.</w:t>
      </w:r>
    </w:p>
    <w:p>
      <w:r>
        <w:rPr>
          <w:rFonts w:ascii="Inter" w:hAnsi="Inter"/>
          <w:b/>
          <w:i w:val="0"/>
          <w:color w:val="4D2F5C"/>
          <w:sz w:val="26"/>
        </w:rPr>
        <w:t>Siguientes hitos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Cerrar/publicar Clinical Context Builder v1.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Integrar Required Data Gate v1 como mecanismo de seguridad previo a reglas.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Implementar Deterministic Findings.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Agregar reglas DEMO claramente identificadas y posteriormente validadas.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Normalizar completamente escenarios y ClinicalDataPoints en db.json e integrar ClinicalDataAdapter.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Construir Dashboard y Medication Review sobre la pipeline determinística.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35323C"/>
          <w:sz w:val="20"/>
        </w:rPr>
        <w:t>Agregar IA únicamente como capa explicativa downstream.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E5F1"/>
            <w:tcBorders>
              <w:top w:val="single" w:sz="8" w:color="B89BC4"/>
              <w:left w:val="single" w:sz="8" w:color="B89BC4"/>
              <w:bottom w:val="single" w:sz="8" w:color="B89BC4"/>
              <w:right w:val="single" w:sz="8" w:color="B89BC4"/>
            </w:tcBorders>
          </w:tcPr>
          <w:p>
            <w:r>
              <w:rPr>
                <w:rFonts w:ascii="Inter" w:hAnsi="Inter"/>
                <w:b/>
                <w:i w:val="0"/>
                <w:color w:val="4D2F5C"/>
                <w:sz w:val="21"/>
              </w:rPr>
              <w:t>Estado general</w:t>
            </w:r>
          </w:p>
          <w:p>
            <w:r>
              <w:rPr>
                <w:rFonts w:ascii="Inter" w:hAnsi="Inter"/>
                <w:b w:val="0"/>
                <w:i w:val="0"/>
                <w:color w:val="35323C"/>
                <w:sz w:val="19"/>
              </w:rPr>
              <w:t>La base de dominio, escenarios sintéticos, relación temporal de medicación y construcción de contexto clínico ya están integradas. El proyecto aún no ejecuta recomendaciones clínicas reales ni reglas clínicas validadas.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b w:val="0"/>
        <w:i w:val="0"/>
        <w:color w:val="78716C"/>
        <w:sz w:val="16"/>
      </w:rPr>
      <w:t>CDSS-CR · Documentación de integración · 25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