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8"/>
          <w:sz w:val="30"/>
          <w:szCs w:val="30"/>
        </w:rPr>
        <w:t xml:space="preserve">Financial Update &amp; Forecast</w:t>
      </w:r>
    </w:p>
    <w:p>
      <w:pPr>
        <w:spacing w:after="20"/>
      </w:pPr>
      <w:r>
        <w:rPr>
          <w:rFonts w:ascii="Calibri" w:cs="Calibri" w:eastAsia="Calibri" w:hAnsi="Calibri"/>
          <w:b/>
          <w:bCs/>
          <w:sz w:val="21"/>
          <w:szCs w:val="21"/>
        </w:rPr>
        <w:t xml:space="preserve">To: </w:t>
      </w:r>
      <w:r>
        <w:rPr>
          <w:rFonts w:ascii="Calibri" w:cs="Calibri" w:eastAsia="Calibri" w:hAnsi="Calibri"/>
          <w:sz w:val="21"/>
          <w:szCs w:val="21"/>
        </w:rPr>
        <w:t xml:space="preserve">Board of Directors, Warby Parker Group, Inc.</w:t>
      </w:r>
    </w:p>
    <w:p>
      <w:pPr>
        <w:spacing w:after="20"/>
      </w:pPr>
      <w:r>
        <w:rPr>
          <w:rFonts w:ascii="Calibri" w:cs="Calibri" w:eastAsia="Calibri" w:hAnsi="Calibri"/>
          <w:b/>
          <w:bCs/>
          <w:sz w:val="21"/>
          <w:szCs w:val="21"/>
        </w:rPr>
        <w:t xml:space="preserve">From: </w:t>
      </w:r>
      <w:r>
        <w:rPr>
          <w:rFonts w:ascii="Calibri" w:cs="Calibri" w:eastAsia="Calibri" w:hAnsi="Calibri"/>
          <w:sz w:val="21"/>
          <w:szCs w:val="21"/>
        </w:rPr>
        <w:t xml:space="preserve">Osaretin Idiagbonmwen, Finance Lead</w:t>
      </w:r>
    </w:p>
    <w:p>
      <w:pPr>
        <w:spacing w:after="20"/>
      </w:pPr>
      <w:r>
        <w:rPr>
          <w:rFonts w:ascii="Calibri" w:cs="Calibri" w:eastAsia="Calibri" w:hAnsi="Calibri"/>
          <w:b/>
          <w:bCs/>
          <w:sz w:val="21"/>
          <w:szCs w:val="21"/>
        </w:rPr>
        <w:t xml:space="preserve">Date: </w:t>
      </w:r>
      <w:r>
        <w:rPr>
          <w:rFonts w:ascii="Calibri" w:cs="Calibri" w:eastAsia="Calibri" w:hAnsi="Calibri"/>
          <w:sz w:val="21"/>
          <w:szCs w:val="21"/>
        </w:rPr>
        <w:t xml:space="preserve">August 31, 2026</w:t>
      </w:r>
    </w:p>
    <w:p>
      <w:pPr>
        <w:pBdr>
          <w:bottom w:val="single" w:color="1F4E78" w:sz="6" w:space="4"/>
        </w:pBdr>
        <w:spacing w:after="100"/>
      </w:pPr>
      <w:r>
        <w:rPr>
          <w:rFonts w:ascii="Calibri" w:cs="Calibri" w:eastAsia="Calibri" w:hAnsi="Calibri"/>
          <w:b/>
          <w:bCs/>
          <w:sz w:val="21"/>
          <w:szCs w:val="21"/>
        </w:rPr>
        <w:t xml:space="preserve">Re: </w:t>
      </w:r>
      <w:r>
        <w:rPr>
          <w:rFonts w:ascii="Calibri" w:cs="Calibri" w:eastAsia="Calibri" w:hAnsi="Calibri"/>
          <w:sz w:val="21"/>
          <w:szCs w:val="21"/>
        </w:rPr>
        <w:t xml:space="preserve">FY2025 Year-End Results and FY2026-FY2030 Outlook</w:t>
      </w:r>
    </w:p>
    <w:p>
      <w:pPr>
        <w:spacing w:after="60" w:before="160"/>
      </w:pPr>
      <w:r>
        <w:rPr>
          <w:rFonts w:ascii="Calibri" w:cs="Calibri" w:eastAsia="Calibri" w:hAnsi="Calibri"/>
          <w:b/>
          <w:bCs/>
          <w:color w:val="1F4E78"/>
          <w:sz w:val="22"/>
          <w:szCs w:val="22"/>
        </w:rPr>
        <w:t xml:space="preserve">Executive Summary</w:t>
      </w:r>
    </w:p>
    <w:p>
      <w:pPr>
        <w:spacing w:after="80" w:line="264"/>
      </w:pPr>
      <w:r>
        <w:rPr>
          <w:rFonts w:ascii="Calibri" w:cs="Calibri" w:eastAsia="Calibri" w:hAnsi="Calibri"/>
          <w:sz w:val="21"/>
          <w:szCs w:val="21"/>
        </w:rPr>
        <w:t xml:space="preserve">FY2025 was the inflection year. We closed the year with $871.9M in revenue and $1.6M in net income, the first profitable year since the IPO. The base case forecast has us growing revenue to $1.4B by FY2030, a 10.0% five-year CAGR, while net margin expands from break-even to 5.8%. The headline for the board: the business has crossed into sustained profitability, and the next five years are about proving that margin expansion holds as we scale, not about whether we can get back to profitable.</w:t>
      </w:r>
    </w:p>
    <w:p>
      <w:pPr>
        <w:spacing w:after="60" w:before="160"/>
      </w:pPr>
      <w:r>
        <w:rPr>
          <w:rFonts w:ascii="Calibri" w:cs="Calibri" w:eastAsia="Calibri" w:hAnsi="Calibri"/>
          <w:b/>
          <w:bCs/>
          <w:color w:val="1F4E78"/>
          <w:sz w:val="22"/>
          <w:szCs w:val="22"/>
        </w:rPr>
        <w:t xml:space="preserve">Income Statement Highlights</w:t>
      </w:r>
    </w:p>
    <w:p>
      <w:pPr>
        <w:spacing w:after="80" w:line="264"/>
      </w:pPr>
      <w:r>
        <w:rPr>
          <w:rFonts w:ascii="Calibri" w:cs="Calibri" w:eastAsia="Calibri" w:hAnsi="Calibri"/>
          <w:sz w:val="21"/>
          <w:szCs w:val="21"/>
        </w:rPr>
        <w:t xml:space="preserve">Base case revenue grows from $985.3M in FY2026 to $1,402.9M in FY2030. Gross margin holds roughly flat, 54.5% to 55.0%, so it is not doing the work here. SG&amp;A leverage is the real driver: SG&amp;A falls from 53.5% of revenue to 48.0% over the period, pushing operating margin from 1.0% to 7.0% and net margin from 1.7% to 5.8%. The tax line also moves against us as we scale, the effective rate rises from 8.0% to 24.0% as NOL carryforwards get used up, which is expected and already priced into these numbers.</w:t>
      </w:r>
    </w:p>
    <w:p>
      <w:pPr>
        <w:spacing w:after="60" w:before="160"/>
      </w:pPr>
      <w:r>
        <w:rPr>
          <w:rFonts w:ascii="Calibri" w:cs="Calibri" w:eastAsia="Calibri" w:hAnsi="Calibri"/>
          <w:b/>
          <w:bCs/>
          <w:color w:val="1F4E78"/>
          <w:sz w:val="22"/>
          <w:szCs w:val="22"/>
        </w:rPr>
        <w:t xml:space="preserve">Balance Sheet &amp; Cash Flow</w:t>
      </w:r>
    </w:p>
    <w:p>
      <w:pPr>
        <w:spacing w:after="80" w:line="264"/>
      </w:pPr>
      <w:r>
        <w:rPr>
          <w:rFonts w:ascii="Calibri" w:cs="Calibri" w:eastAsia="Calibri" w:hAnsi="Calibri"/>
          <w:sz w:val="21"/>
          <w:szCs w:val="21"/>
        </w:rPr>
        <w:t xml:space="preserve">We are a cash generator in every year of the base case. Operating cash flow funds capex with room to spare: free cash flow runs $29.1M in FY2026 and grows to $90.5M by FY2030. Cash on hand builds from $315.4M to $584.3M over the forecast with zero financing activity assumed, no new debt, no buybacks. Working capital stays a minor swing factor throughout; none of this growth is funded by stretching payables or squeezing inventory.</w:t>
      </w:r>
    </w:p>
    <w:p>
      <w:pPr>
        <w:spacing w:after="60" w:before="160"/>
      </w:pPr>
      <w:r>
        <w:rPr>
          <w:rFonts w:ascii="Calibri" w:cs="Calibri" w:eastAsia="Calibri" w:hAnsi="Calibri"/>
          <w:b/>
          <w:bCs/>
          <w:color w:val="1F4E78"/>
          <w:sz w:val="22"/>
          <w:szCs w:val="22"/>
        </w:rPr>
        <w:t xml:space="preserve">Scenario Analysis</w:t>
      </w:r>
    </w:p>
    <w:p>
      <w:pPr>
        <w:spacing w:after="80" w:line="264"/>
      </w:pPr>
      <w:r>
        <w:rPr>
          <w:rFonts w:ascii="Calibri" w:cs="Calibri" w:eastAsia="Calibri" w:hAnsi="Calibri"/>
          <w:sz w:val="21"/>
          <w:szCs w:val="21"/>
        </w:rPr>
        <w:t xml:space="preserve">By FY2030, the three cases diverge sharply on one variable: cost discipline, not revenue growth. Best case reaches $1,605.8M in revenue and $173.7M in net income, a 10.8% margin, if SG&amp;A leverage continues at its recent pace. Worst case still grows revenue to $1,138.7M but SG&amp;A leverage stalls completely, and the company posts a net loss of $31.5M in FY2030. The takeaway: our margin trajectory, not our top-line growth, decides which of these three outcomes we land in.</w:t>
      </w:r>
    </w:p>
    <w:p>
      <w:pPr>
        <w:spacing w:after="60" w:before="160"/>
      </w:pPr>
      <w:r>
        <w:rPr>
          <w:rFonts w:ascii="Calibri" w:cs="Calibri" w:eastAsia="Calibri" w:hAnsi="Calibri"/>
          <w:b/>
          <w:bCs/>
          <w:color w:val="1F4E78"/>
          <w:sz w:val="22"/>
          <w:szCs w:val="22"/>
        </w:rPr>
        <w:t xml:space="preserve">Key Risks &amp; Watch Items</w:t>
      </w:r>
    </w:p>
    <w:p>
      <w:pPr>
        <w:spacing w:after="80" w:line="264"/>
      </w:pPr>
      <w:r>
        <w:rPr>
          <w:rFonts w:ascii="Calibri" w:cs="Calibri" w:eastAsia="Calibri" w:hAnsi="Calibri"/>
          <w:sz w:val="21"/>
          <w:szCs w:val="21"/>
        </w:rPr>
        <w:t xml:space="preserve">First, SG&amp;A leverage is the single biggest swing factor in the model, worth monitoring quarterly against plan. Second, the model assumes zero financing activity, so we currently have no built-in cushion if capex needs accelerate the way they do in the worst case. Third, the effective tax rate assumption is the most judgment-driven input in the forecast, since it depends on how fast we use up NOL carryforwards, and a faster-than-planned ramp would compress net income sooner than modeled.</w:t>
      </w:r>
    </w:p>
    <w:p>
      <w:pPr>
        <w:spacing w:after="60" w:before="160"/>
      </w:pPr>
      <w:r>
        <w:rPr>
          <w:rFonts w:ascii="Calibri" w:cs="Calibri" w:eastAsia="Calibri" w:hAnsi="Calibri"/>
          <w:b/>
          <w:bCs/>
          <w:color w:val="1F4E78"/>
          <w:sz w:val="22"/>
          <w:szCs w:val="22"/>
        </w:rPr>
        <w:t xml:space="preserve">Recommended Actions</w:t>
      </w:r>
    </w:p>
    <w:p>
      <w:pPr>
        <w:spacing w:after="80" w:line="264"/>
      </w:pPr>
      <w:r>
        <w:rPr>
          <w:rFonts w:ascii="Calibri" w:cs="Calibri" w:eastAsia="Calibri" w:hAnsi="Calibri"/>
          <w:sz w:val="21"/>
          <w:szCs w:val="21"/>
        </w:rPr>
        <w:t xml:space="preserve">One, track SG&amp;A as a percentage of revenue every quarter against the base case glide path, it is our earliest signal of which scenario we are tracking toward. Two, hold the cash we are building as a self-funded buffer rather than deploying it into buybacks or new debt until the margin trend is confirmed over two to three quarters. Three, build a contingency cost plan now, before we need it, given how quickly the worst case turns into a widening loss if SG&amp;A leverage stalls.</w:t>
      </w:r>
    </w:p>
    <w:p>
      <w:pPr>
        <w:pBdr>
          <w:top w:val="single" w:color="808080" w:sz="6" w:space="4"/>
        </w:pBdr>
        <w:spacing w:before="160"/>
        <w:jc w:val="center"/>
      </w:pPr>
      <w:r>
        <w:rPr>
          <w:rFonts w:ascii="Calibri" w:cs="Calibri" w:eastAsia="Calibri" w:hAnsi="Calibri"/>
          <w:i/>
          <w:iCs/>
          <w:color w:val="595959"/>
          <w:sz w:val="18"/>
          <w:szCs w:val="18"/>
        </w:rPr>
        <w:t xml:space="preserve">Confidential - Finance Department</w:t>
      </w:r>
    </w:p>
    <w:sectPr>
      <w:pgSz w:w="12240" w:h="15840"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2026-08-28T22:26:46.539Z</dcterms:created>
  <dcterms:modified xsi:type="dcterms:W3CDTF">2026-08-28T22:26:46.552Z</dcterms:modified>
</cp:coreProperties>
</file>

<file path=docProps/custom.xml><?xml version="1.0" encoding="utf-8"?>
<Properties xmlns="http://schemas.openxmlformats.org/officeDocument/2006/custom-properties" xmlns:vt="http://schemas.openxmlformats.org/officeDocument/2006/docPropsVTypes"/>
</file>