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2"/>
          <w:szCs w:val="32"/>
        </w:rPr>
        <w:t xml:space="preserve">Monthly Variance Report - August 2018</w:t>
      </w:r>
    </w:p>
    <w:p>
      <w:pPr>
        <w:spacing w:after="60"/>
      </w:pPr>
      <w:r>
        <w:rPr>
          <w:b/>
          <w:bCs/>
          <w:sz w:val="22"/>
          <w:szCs w:val="22"/>
        </w:rPr>
        <w:t xml:space="preserve">Date: </w:t>
      </w:r>
      <w:r>
        <w:rPr>
          <w:sz w:val="22"/>
          <w:szCs w:val="22"/>
        </w:rPr>
        <w:t xml:space="preserve">Monday, August 24, 2026</w:t>
      </w:r>
    </w:p>
    <w:p>
      <w:pPr>
        <w:spacing w:after="60"/>
      </w:pPr>
      <w:r>
        <w:rPr>
          <w:b/>
          <w:bCs/>
          <w:sz w:val="22"/>
          <w:szCs w:val="22"/>
        </w:rPr>
        <w:t xml:space="preserve">To: </w:t>
      </w:r>
      <w:r>
        <w:rPr>
          <w:sz w:val="22"/>
          <w:szCs w:val="22"/>
        </w:rPr>
        <w:t xml:space="preserve">Chief Executive Officer, Aurora Marketplace</w:t>
      </w:r>
    </w:p>
    <w:p>
      <w:pPr>
        <w:spacing w:after="60"/>
      </w:pPr>
      <w:r>
        <w:rPr>
          <w:b/>
          <w:bCs/>
          <w:sz w:val="22"/>
          <w:szCs w:val="22"/>
        </w:rPr>
        <w:t xml:space="preserve">From: </w:t>
      </w:r>
      <w:r>
        <w:rPr>
          <w:sz w:val="22"/>
          <w:szCs w:val="22"/>
        </w:rPr>
        <w:t xml:space="preserve">Osaretin Idiagbonmwen, Finance Lead</w:t>
      </w:r>
    </w:p>
    <w:p>
      <w:pPr>
        <w:spacing w:after="60"/>
      </w:pPr>
      <w:r>
        <w:rPr>
          <w:b/>
          <w:bCs/>
          <w:sz w:val="22"/>
          <w:szCs w:val="22"/>
        </w:rPr>
        <w:t xml:space="preserve">Re: </w:t>
      </w:r>
      <w:r>
        <w:rPr>
          <w:sz w:val="22"/>
          <w:szCs w:val="22"/>
        </w:rPr>
        <w:t xml:space="preserve">Budget vs Actual Performance - August 2018</w:t>
      </w:r>
    </w:p>
    <w:p>
      <w:pPr>
        <w:spacing w:after="150" w:before="300"/>
      </w:pPr>
      <w:r>
        <w:rPr>
          <w:b/>
          <w:bCs/>
          <w:color w:val="1F3864"/>
          <w:sz w:val="24"/>
          <w:szCs w:val="24"/>
        </w:rPr>
        <w:t xml:space="preserve">Executive Summary</w:t>
      </w:r>
    </w:p>
    <w:p>
      <w:pPr>
        <w:spacing w:after="200"/>
      </w:pPr>
      <w:r>
        <w:rPr>
          <w:sz w:val="22"/>
          <w:szCs w:val="22"/>
        </w:rPr>
        <w:t xml:space="preserve">We beat budget in August. Revenue came in at $838,577 against a budget of $579,865, a variance of $258,712, or 44.6% ahead of plan. The upside is almost entirely a volume story, not a price story. Volume effect alone accounts for $230,809 of the variance, about 89% of the total, while price only added $21,112. On the cost side, opex ran $1,047 under budget across all four lines, so there's nothing to flag there this month. Net effect on the bottom line is roughly $259,759 favorable.</w:t>
      </w:r>
    </w:p>
    <w:p>
      <w:pPr>
        <w:spacing w:after="150" w:before="300"/>
      </w:pPr>
      <w:r>
        <w:rPr>
          <w:b/>
          <w:bCs/>
          <w:color w:val="1F3864"/>
          <w:sz w:val="24"/>
          <w:szCs w:val="24"/>
        </w:rPr>
        <w:t xml:space="preserve">Revenue Variance Analysis</w:t>
      </w:r>
    </w:p>
    <w:p>
      <w:pPr>
        <w:spacing w:after="200"/>
      </w:pPr>
      <w:r>
        <w:rPr>
          <w:sz w:val="22"/>
          <w:szCs w:val="22"/>
        </w:rPr>
        <w:t xml:space="preserve">18 categories crossed our materiality threshold this month, 15 favorable and 3 unfavorable. The favorable side is broad-based rather than concentrated in one or two categories, which is a healthier pattern than a single outlier carrying the whole number.</w:t>
      </w:r>
    </w:p>
    <w:p>
      <w:pPr>
        <w:spacing w:after="200"/>
      </w:pPr>
      <w:r>
        <w:rPr>
          <w:sz w:val="22"/>
          <w:szCs w:val="22"/>
        </w:rPr>
        <w:t xml:space="preserve">Health &amp; beauty was the single biggest driver, up $67,909 against a $51,482 budget, more than double what we planned. Housewares added $34,867, watches &amp; gifts added $31,788, and telephony and auto each added roughly $25,000. Pet shop, construction tools, and stationery also cleared the threshold on the favorable side, each adding $8,000 to $14,000.</w:t>
      </w:r>
    </w:p>
    <w:p>
      <w:pPr>
        <w:spacing w:after="200"/>
      </w:pPr>
      <w:r>
        <w:rPr>
          <w:sz w:val="22"/>
          <w:szCs w:val="22"/>
        </w:rPr>
        <w:t xml:space="preserve">On the unfavorable side, computers is the one that needs a real look. Revenue came in at $8,712 against a budget of $35,640, down 76%. Both price and volume worked against us there: average price dropped from $1,157 to $726, and units sold came in well below plan. Cool stuff was down $24,383 (61% below budget) and garden tools was down $7,065 (30% below budget). Those two are lighter misses but still worth a line in next month's review.</w:t>
      </w:r>
    </w:p>
    <w:p>
      <w:pPr>
        <w:spacing w:after="150" w:before="300"/>
      </w:pPr>
      <w:r>
        <w:rPr>
          <w:b/>
          <w:bCs/>
          <w:color w:val="1F3864"/>
          <w:sz w:val="24"/>
          <w:szCs w:val="24"/>
        </w:rPr>
        <w:t xml:space="preserve">OpEx Variance Analysis</w:t>
      </w:r>
    </w:p>
    <w:p>
      <w:pPr>
        <w:spacing w:after="200"/>
      </w:pPr>
      <w:r>
        <w:rPr>
          <w:sz w:val="22"/>
          <w:szCs w:val="22"/>
        </w:rPr>
        <w:t xml:space="preserve">All four expense lines came in under budget and none of them crossed the materiality threshold. Payroll was $417 under budget (-0.9%), rent was $18 under (-0.2%), ad spend was $70 under (-0.2%), and logistics was $542 under (-2.4%), for a combined $1,047 in savings. This is a clean month on the cost side and doesn't need management attention.</w:t>
      </w:r>
    </w:p>
    <w:p>
      <w:pPr>
        <w:spacing w:after="150" w:before="300"/>
      </w:pPr>
      <w:r>
        <w:rPr>
          <w:b/>
          <w:bCs/>
          <w:color w:val="1F3864"/>
          <w:sz w:val="24"/>
          <w:szCs w:val="24"/>
        </w:rPr>
        <w:t xml:space="preserve">Net Impact</w:t>
      </w:r>
    </w:p>
    <w:p>
      <w:pPr>
        <w:spacing w:after="200"/>
      </w:pPr>
      <w:r>
        <w:rPr>
          <w:sz w:val="22"/>
          <w:szCs w:val="22"/>
        </w:rPr>
        <w:t xml:space="preserve">The revenue beat of $258,712 combines with the opex saving of $1,047 for a net favorable impact of about $259,759 for the month. Because the revenue upside is volume-driven rather than price-driven, it flows through at a lower margin than a price-led beat would, but it's still a strong month on both the top and bottom line.</w:t>
      </w:r>
    </w:p>
    <w:p>
      <w:pPr>
        <w:spacing w:after="150" w:before="300"/>
      </w:pPr>
      <w:r>
        <w:rPr>
          <w:b/>
          <w:bCs/>
          <w:color w:val="1F3864"/>
          <w:sz w:val="24"/>
          <w:szCs w:val="24"/>
        </w:rPr>
        <w:t xml:space="preserve">Key Takeaways &amp; Recommended Actions</w:t>
      </w:r>
    </w:p>
    <w:p>
      <w:pPr>
        <w:spacing w:after="200"/>
      </w:pPr>
      <w:r>
        <w:rPr>
          <w:sz w:val="22"/>
          <w:szCs w:val="22"/>
        </w:rPr>
        <w:t xml:space="preserve">Dig into computers before next month's close. A 76% miss driven by both price and volume points to something specific, whether that's a stockout, a competitor move, or a pricing error. We should know the cause before we roll it into next month's budget.</w:t>
      </w:r>
    </w:p>
    <w:p>
      <w:pPr>
        <w:spacing w:after="200"/>
      </w:pPr>
      <w:r>
        <w:rPr>
          <w:sz w:val="22"/>
          <w:szCs w:val="22"/>
        </w:rPr>
        <w:t xml:space="preserve">Treat the volume beat as a signal, not noise. Health &amp; beauty, housewares, and watches &amp; gifts are all running well ahead of a flat year-over-year growth assumption. If this holds for another month, our budget baseline for these categories is too conservative and should be revised up rather than carried forward as a recurring variance.</w:t>
      </w:r>
    </w:p>
    <w:p>
      <w:pPr>
        <w:spacing w:after="200"/>
      </w:pPr>
      <w:r>
        <w:rPr>
          <w:sz w:val="22"/>
          <w:szCs w:val="22"/>
        </w:rPr>
        <w:t xml:space="preserve">Leave opex assumptions as is. All four lines are tracking tight to budget with no red flags, so there's no case for adjusting payroll, rent, ad spend, or logistics assumptions this cycle.</w:t>
      </w:r>
    </w:p>
    <w:p>
      <w:pPr>
        <w:spacing w:after="200"/>
      </w:pPr>
      <w:r>
        <w:rPr>
          <w:sz w:val="22"/>
          <w:szCs w:val="22"/>
        </w:rPr>
        <w:t xml:space="preserve">Keep an eye on cool stuff and garden tools alongside computers. They're smaller misses individually, but all three sitting on the unfavorable side in the same month is worth a combined look rather than three separate investigations.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i/>
        <w:iCs/>
        <w:color w:val="666666"/>
        <w:sz w:val="18"/>
        <w:szCs w:val="18"/>
      </w:rPr>
      <w:t xml:space="preserve">Confidential - Finance Department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2026-08-17T05:46:55.142Z</dcterms:created>
  <dcterms:modified xsi:type="dcterms:W3CDTF">2026-08-17T05:46:55.159Z</dcterms:modified>
</cp:coreProperties>
</file>

<file path=docProps/custom.xml><?xml version="1.0" encoding="utf-8"?>
<Properties xmlns="http://schemas.openxmlformats.org/officeDocument/2006/custom-properties" xmlns:vt="http://schemas.openxmlformats.org/officeDocument/2006/docPropsVTypes"/>
</file>