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MERIDIAN CLOUD SOLUTIONS</w:t>
      </w:r>
    </w:p>
    <w:p>
      <w:pPr>
        <w:pBdr>
          <w:bottom w:val="single" w:color="1F3864" w:sz="12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FP&amp;A Memo</w:t>
      </w:r>
    </w:p>
    <w:p>
      <w:pPr>
        <w:tabs>
          <w:tab w:val="left" w:pos="90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TO:</w:t>
      </w:r>
      <w:r>
        <w:rPr>
          <w:rFonts w:ascii="Calibri" w:cs="Calibri" w:eastAsia="Calibri" w:hAnsi="Calibri"/>
          <w:sz w:val="21"/>
          <w:szCs w:val="21"/>
        </w:rPr>
        <w:t xml:space="preserve">	CFO</w:t>
      </w:r>
    </w:p>
    <w:p>
      <w:pPr>
        <w:tabs>
          <w:tab w:val="left" w:pos="90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FROM:</w:t>
      </w:r>
      <w:r>
        <w:rPr>
          <w:rFonts w:ascii="Calibri" w:cs="Calibri" w:eastAsia="Calibri" w:hAnsi="Calibri"/>
          <w:sz w:val="21"/>
          <w:szCs w:val="21"/>
        </w:rPr>
        <w:t xml:space="preserve">	Osaretin Idiagbonmwen, FP&amp;A Analyst</w:t>
      </w:r>
    </w:p>
    <w:p>
      <w:pPr>
        <w:tabs>
          <w:tab w:val="left" w:pos="90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DATE:</w:t>
      </w:r>
      <w:r>
        <w:rPr>
          <w:rFonts w:ascii="Calibri" w:cs="Calibri" w:eastAsia="Calibri" w:hAnsi="Calibri"/>
          <w:sz w:val="21"/>
          <w:szCs w:val="21"/>
        </w:rPr>
        <w:t xml:space="preserve">	January 5, 2026</w:t>
      </w:r>
    </w:p>
    <w:p>
      <w:pPr>
        <w:tabs>
          <w:tab w:val="left" w:pos="90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SUBJECT:</w:t>
      </w:r>
      <w:r>
        <w:rPr>
          <w:rFonts w:ascii="Calibri" w:cs="Calibri" w:eastAsia="Calibri" w:hAnsi="Calibri"/>
          <w:sz w:val="21"/>
          <w:szCs w:val="21"/>
        </w:rPr>
        <w:t xml:space="preserve">	December 2025 Revenue Bridge &amp; Retention Review</w:t>
      </w:r>
    </w:p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Bottom line: December closed at $252,915 in MRR, up $13,483 on the month. New business and expansion covered what we lost to churn, and the retention ratios still look fine — NRR at 100.8%, GRR at 97.7%. </w:t>
      </w:r>
      <w:r>
        <w:rPr>
          <w:rFonts w:ascii="Calibri" w:cs="Calibri" w:eastAsia="Calibri" w:hAnsi="Calibri"/>
          <w:sz w:val="21"/>
          <w:szCs w:val="21"/>
        </w:rPr>
        <w:t xml:space="preserve">But there's a gap opening up underneath those ratios that's worth flagging now rather than six months from now.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Numbers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Ending MRR hit $252,915, a net gain of $13,483 for the month — new business ($11,656 from 94 customers) and expansion ($7,100 from 44 accounts) more than covered churn and contraction.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NRR came in at 100.8%, GRR at 97.7%.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Churn cost us $3,716 across 34 accounts, the single biggest drag on the bridge this month, only partly offset by $343 in reactivated revenue from 7 accounts.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What's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New logo growth is doing the heavy lifting. 94 new customers is the strongest new-business count we've logged all year, and it's the main reason the month closed positive.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Expansion isn't a one-off. NRR has held at or above 100% in most months since early 2024, so upsell inside the existing base is a pattern we can plan around, not a lucky quarter.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What's Not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Churn dollars are quietly outrunning the churn rate. Logo churn has stayed flat in a 1.5–3.0% band since 2023, but the dollar amount we lose each month has climbed from $150–500 back then to $3,000–4,400 now. Same rate, much bigger number, and it'll keep growing as the base does.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October 2023 cohort never came back. It drops to the 80s by month 3 and stays there through month 12, while every other cohort in the dataset recovers past 100%. Nobody's looked into why yet.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Recommendation</w:t>
      </w:r>
    </w:p>
    <w:p>
      <w:pPr>
        <w:spacing w:after="100" w:before="20"/>
      </w:pPr>
      <w:r>
        <w:rPr>
          <w:rFonts w:ascii="Calibri" w:cs="Calibri" w:eastAsia="Calibri" w:hAnsi="Calibri"/>
          <w:sz w:val="21"/>
          <w:szCs w:val="21"/>
        </w:rPr>
        <w:t xml:space="preserve">Pull the account list for the Oct-23 cohort and check what's different about it — acquisition channel, plan mix, onboarding path, anything. If it's a fixable pattern, fixing it once is worth more than most retention initiatives we'd run today.</w:t>
      </w:r>
    </w:p>
    <w:p>
      <w:pPr>
        <w:spacing w:after="80" w:before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Full bridge and cohort detail is in the dashboard if you want to dig into a specific month.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MRR Movement Summary — December 2025</w:t>
      </w:r>
    </w:p>
    <w:p>
      <w:pPr>
        <w:spacing w:after="4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Movement</w:t>
            </w:r>
          </w:p>
        </w:tc>
        <w:tc>
          <w:tcPr>
            <w:tcW w:type="dxa" w:w="3600"/>
            <w:shd w:fill="1F3864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 MRR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3600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+$11,656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Expansion</w:t>
            </w:r>
          </w:p>
        </w:tc>
        <w:tc>
          <w:tcPr>
            <w:tcW w:type="dxa" w:w="3600"/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+$7,100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Contraction</w:t>
            </w:r>
          </w:p>
        </w:tc>
        <w:tc>
          <w:tcPr>
            <w:tcW w:type="dxa" w:w="3600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−$1,900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Churned</w:t>
            </w:r>
          </w:p>
        </w:tc>
        <w:tc>
          <w:tcPr>
            <w:tcW w:type="dxa" w:w="3600"/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−$3,716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Reactivated</w:t>
            </w:r>
          </w:p>
        </w:tc>
        <w:tc>
          <w:tcPr>
            <w:tcW w:type="dxa" w:w="3600"/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+$343</w:t>
            </w:r>
          </w:p>
        </w:tc>
      </w:tr>
      <w:tr>
        <w:tc>
          <w:tcPr>
            <w:tcW w:type="dxa" w:w="3600"/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Net Change</w:t>
            </w:r>
          </w:p>
        </w:tc>
        <w:tc>
          <w:tcPr>
            <w:tcW w:type="dxa" w:w="3600"/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+$13,483</w:t>
            </w:r>
          </w:p>
        </w:tc>
      </w:tr>
    </w:tbl>
    <w:sectPr>
      <w:pgSz w:w="12240" w:h="15840" w:orient="portrait"/>
      <w:pgMar w:top="72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2026-08-05T03:21:54.118Z</dcterms:created>
  <dcterms:modified xsi:type="dcterms:W3CDTF">2026-08-05T03:21:54.118Z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