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drawing>
          <wp:inline distT="0" distB="0" distL="0" distR="0">
            <wp:extent cx="36195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A5A5A"/>
          <w:sz w:val="22"/>
          <w:szCs w:val="22"/>
        </w:rPr>
        <w:t xml:space="preserve">Everything You Need</w:t>
      </w:r>
    </w:p>
    <w:p>
      <w:pPr>
        <w:spacing w:before="700"/>
        <w:jc w:val="center"/>
      </w:pPr>
      <w:r>
        <w:rPr>
          <w:b/>
          <w:bCs/>
          <w:color w:val="0A1A3D"/>
          <w:sz w:val="40"/>
          <w:szCs w:val="40"/>
        </w:rPr>
        <w:t xml:space="preserve">PRODUCT REQUIREMENTS DOCUMENT</w:t>
      </w:r>
    </w:p>
    <w:p>
      <w:pPr>
        <w:spacing w:after="700" w:before="120"/>
        <w:jc w:val="center"/>
      </w:pPr>
      <w:r>
        <w:rPr>
          <w:color w:val="1049EB"/>
          <w:sz w:val="24"/>
          <w:szCs w:val="24"/>
        </w:rPr>
        <w:t xml:space="preserve">E-Commerce Storefront &amp; Operator Admin Platform</w:t>
      </w:r>
    </w:p>
    <w:p>
      <w:pPr>
        <w:spacing w:before="900"/>
        <w:jc w:val="center"/>
      </w:pPr>
      <w:r>
        <w:rPr>
          <w:b/>
          <w:bCs/>
          <w:color w:val="222222"/>
          <w:sz w:val="21"/>
          <w:szCs w:val="21"/>
        </w:rPr>
        <w:t xml:space="preserve">Legal Entity (CAC-Registered): Crownlith Solutions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Public Brand Name: Noma</w:t>
      </w:r>
    </w:p>
    <w:p>
      <w:pPr>
        <w:spacing w:after="40"/>
        <w:jc w:val="center"/>
      </w:pPr>
      <w:r>
        <w:rPr>
          <w:color w:val="5A5A5A"/>
          <w:sz w:val="19"/>
          <w:szCs w:val="19"/>
        </w:rPr>
        <w:t xml:space="preserve">Document Version: 1.0</w:t>
      </w:r>
    </w:p>
    <w:p>
      <w:pPr>
        <w:spacing w:after="40"/>
        <w:jc w:val="center"/>
      </w:pPr>
      <w:r>
        <w:rPr>
          <w:color w:val="5A5A5A"/>
          <w:sz w:val="19"/>
          <w:szCs w:val="19"/>
        </w:rPr>
        <w:t xml:space="preserve">Status: Draft — For Review</w:t>
      </w:r>
    </w:p>
    <w:p>
      <w:pPr>
        <w:jc w:val="center"/>
      </w:pPr>
      <w:r>
        <w:rPr>
          <w:color w:val="5A5A5A"/>
          <w:sz w:val="19"/>
          <w:szCs w:val="19"/>
        </w:rPr>
        <w:t xml:space="preserve">Date: 21 July 2026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Noma — Product Requirements Document (PRD)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Crownlith Solutions (CAC-registered)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Noma — “Everything You Need”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&amp; Engineering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Operator, Development Team — Confidential</w:t>
            </w:r>
          </w:p>
        </w:tc>
      </w:tr>
    </w:tbl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2. Business Overview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3. Goals &amp;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4. Users &amp; Personas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5. Revenue &amp; Pricing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6.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7. 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9. Technical Architecture &amp; Recommended 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10. Core Data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11. Legal &amp; Payment Setup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12. Branding &amp; Marketing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13. Roles &amp; Responsibilities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14. Success Metrics (KPIs)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15. Rollout Plan &amp; Milestones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16. Risks &amp; Assumptions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17. Appendix — Glossary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Noma is a Nigeria-based online retail platform selling a broad catalog — electronics, home appliances, cooking equipment, bicycles, wines, and general merchandise. Stock is sourced by a UK-based supplier who ships goods into Nigeria at her own cost; a Nigeria-based operator lists, prices, sells, and fulfils orders through the Noma storefront and manages the customer-facing side of the business.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platform pays the operator through two independent streams: a fixed monthly retainer from the supplier, and a markup she sets and keeps on every item sold. This document defines the product requirements for the Noma website (customer storefront) and a private, operator-only admin portal that runs pricing, inventory, orders, and profit tracking behind the scenes.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business is legally registered with the Corporate Affairs Commission (CAC) as Crownlith Solutions; Noma is the public-facing brand used across the website, social channels, and marketing material. Customers interact with Noma only — the sourcing arrangement and CAC entity name are never exposed on the storefront.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2. Business Overview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Noma operates as a single-operator retail business, not a multi-vendor or franchise marketplace. Two parties sit behind the goods sold on the platform: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UK-based supplier — sources and ships physical goods to Nigeria at her own cost and arrangement. Import logistics sit entirely outside the scope of this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Nigeria-based operator — receives goods, lists and prices them, sells through the Noma website, fulfils local delivery, and owns the customer relationship.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website, admin systems, and every account described in this PRD are for the operator's use only.</w:t>
      </w:r>
    </w:p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Positioning requirement: Noma must read to customers as an established, standard Nigerian retail business. The UK sourcing relationship and import arrangement are not disclosed anywhere on the site or in marketing material.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3. Goals &amp; Objectives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Give the operator a single system to price, sell, and fulfil a wide, mixed catalog without manual spreadsheets.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Make Noma read as a credible, established Nigerian retail brand from day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Guarantee an accurate, always-current picture of what is owed to the supplier versus what the operator has earned.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Get the business payment-ready (CAC registration → business bank account → Paystack/Flutterwave) with the platform ready to switch on as soon as legal setup clears.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3.2 Product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 fast, mobile-first storefront that Nigerian shoppers trust enough to check out on, or hand off to WhatsApp to close.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An admin portal that turns “supplier base price + category markup” into a correct customer-facing price automatically, with per-item override when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Zero manual reconciliation: every sale automatically splits into “owed to supplier” and “kept by operator,” rolled up into a monthly summary.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4. Users &amp; Personas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4.1 Customer (Storefront user)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Nigerian online shopper browsing by category (electronics, appliances, cooking materials, bicycles, wines, general goods).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Price-sensitive on bulky/expensive items, less sensitive on small wares; wants clear, final pricing with no surprises at checkout.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Often prefers to finalize a purchase in a direct WhatsApp chat rather than complete checkout entirely on-site.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Needs to trust the brand quickly — looks for CAC registration, a real contact number, and a real face behind the store.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4.2 Operator (Admin portal user)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The sole day-to-day user of the admin portal — sets markups, manages stock, tracks orders, and monitors monthly income.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Needs pricing to be fast to set (category defaults) but flexible to override per product.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Needs a clear, trustworthy monthly view of total income: salary + markup earned, separate from what is owed back to the supplier.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4.3 UK Supplier (Off-platform party)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Sets the base price per item and ships stock into Nigeria independently of this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Has no direct login or access to the platform in this version — she is paid and reconciled with off-platform, using the operator's monthly summary as the source of truth.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5. Revenue &amp; Pricing Model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Two income streams exist for the operator and must never be conflated in the system: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5.1 Fixed Monthly Salary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UK supplier pays the operator a fixed ₦80,000 per month for selling on her behalf. This is owed regardless of sales volume and must be logged independently of any per-sale transaction.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5.2 Per-Item Markup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For every product the supplier sets a base price (the amount owed back to her). The operator adds a markup on top, which is hers to keep. The customer pays base + markup as a single combined price at checkout — the breakdown is never shown to the customer.</w:t>
      </w:r>
    </w:p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Worked example: base price ₦30,000, 20% markup adds ₦6,000. Customer pays ₦36,000 at checkout. ₦30,000 is owed to the supplier; ₦6,000 stays with the operator.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5.3 Category-Based Markup Strategy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single flat markup percentage across the full catalog is not viable — price sensitivity differs sharply by category. The admin portal must support a default markup percentage per category, with a per-product override.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 Markup</w:t>
            </w:r>
          </w:p>
        </w:tc>
        <w:tc>
          <w:tcPr>
            <w:tcW w:type="dxa" w:w="42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Bicycles / large appliances</w:t>
            </w:r>
          </w:p>
        </w:tc>
        <w:tc>
          <w:tcPr>
            <w:tcW w:type="dxa" w:w="22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10% – 15%</w:t>
            </w:r>
          </w:p>
        </w:tc>
        <w:tc>
          <w:tcPr>
            <w:tcW w:type="dxa" w:w="4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base price already; delivery fee adds further cost; must stay price-competitive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electronics / mid-range appliances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20% – 25%</w:t>
            </w:r>
          </w:p>
        </w:tc>
        <w:tc>
          <w:tcPr>
            <w:tcW w:type="dxa" w:w="4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Balanced — customer is less price-sensitive than on bulky items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Cooking materials / small wares</w:t>
            </w:r>
          </w:p>
        </w:tc>
        <w:tc>
          <w:tcPr>
            <w:tcW w:type="dxa" w:w="22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30% – 40%+</w:t>
            </w:r>
          </w:p>
        </w:tc>
        <w:tc>
          <w:tcPr>
            <w:tcW w:type="dxa" w:w="4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 base cost; the naira increase is barely noticeable to the customer but adds up in volume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Wine / specialty items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Priced against local market rate</w:t>
            </w:r>
          </w:p>
        </w:tc>
        <w:tc>
          <w:tcPr>
            <w:tcW w:type="dxa" w:w="4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Harder to source locally — can carry a premium priced against comparable local offerings, not just cost-plus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6. Scope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6.1 In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Customer-facing storefront: catalog, product pages, cart, checkout, delivery-fee calculation, payment.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Operator-only admin portal: inventory, category/item pricing, order management, profit and salary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Integration with a local courier (GIG Logistics) for delivery-fee calculation and order/delivery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Integration with Paystack and/or Flutterwave for payment, once legal setup is complete.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6.2 Out of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Any UK-side sourcing, purchasing, or import logistics — arranged independently by the supplier.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Multi-vendor or franchise capability — this is a single-operator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Direct supplier login/dashboard access in this version — reconciliation happens off-platform using the operator's monthly summary.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7. Functional Requirements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7.1 Customer-Facing Storefront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 catalog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Products browsable by category: electronics, appliances, cooking materials, bicycles, wines, general goods.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Final-price-only display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pages show only the combined customer-facing price (base + markup). Supplier cost and markup breakdown are never exposed.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FR-3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fee at checkout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 auto-calculates delivery fee from customer location via courier integration (GIG Logistics).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 supports Paystack and/or Flutterwave, enabled once CAC registration and a business bank account are in place.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FR-5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Neutral brand presentation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reference to UK sourcing or import status anywhere on the storefront or in marketing material — Noma presents as a standard, established Nigerian retailer.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FR-6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WhatsApp handoff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visible WhatsApp contact/CTA lets shoppers move from browsing into a direct chat to finalize a purchase.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7.2 Admin Portal (Operator-Only)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FR-7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Add/edit products, quantities, categories, and images.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FR-8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Pricing control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base price (from supplier), markup %, and resulting final price — category-level default markups with per-item override.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FR-9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Profit tracking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sale records the base amount owed to the supplier and the markup kept by the operator, rolled into running monthly totals.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Salary tracking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fixed ₦80,000 monthly salary is logged separately from per-sale transactions, since it is not tied to sales volume.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FR-11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&amp; delivery tracking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status tied to the courier integration, from placed → dispatched → delivered.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 summary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view showing total sales, total owed to supplier, total markup earned, and the fixed salary — the operator's full monthly income picture.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FR-13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portal is accessible only to the operator; no public or multi-user access in this version.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7.3 Payments &amp; Checkout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Paystack and/or Flutterwave integration is gated behind CAC registration and a registered business bank account — the platform should be built and ready, then switched on once legal setup clears.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Checkout totals must always equal base price + markup + calculated delivery fee, with no manual override at the point of sale.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7.4 Logistics &amp; Delivery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Local delivery within Nigeria is handled through a courier integration (GIG Logistics as the primary candidate), calculating delivery fees automatically at checkout based on customer delivery location.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Shipping of goods from the UK to Nigeria is arranged independently by the supplier and stays outside the platform's scope.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8.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 pages should load in under 2.5s on average Nigerian mobile data speeds; images optimized/lazy-loaded for data-cost-conscious users.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portal behind authenticated, operator-only access; supplier cost and markup data never exposed via any public-facing route or API response.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 should target high uptime given checkout is revenue-critical; admin portal can tolerate brief maintenance windows.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Usability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Mobile-first design — the large majority of Nigerian shoppers browse and buy on mobile.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Catalog and category structure should support growth well beyond the initial product range without a data-model rework.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processing must satisfy Paystack/Flutterwave's KYC requirements: CAC registration and a matching business bank account.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order must be traceable to its base price, markup, and delivery fee at the time of sale, even if category markups change later.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9. Technical Architecture &amp; Recommended Stack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Recommended stack, chosen for fast iteration on a single-operator platform and straightforward Nigerian payment/logistics integration: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0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30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(storefront + admin)</w:t>
            </w:r>
          </w:p>
        </w:tc>
        <w:tc>
          <w:tcPr>
            <w:tcW w:type="dxa" w:w="60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19 + TypeScript + Vite, Tailwind CSS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 / deployment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30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data</w:t>
            </w:r>
          </w:p>
        </w:tc>
        <w:tc>
          <w:tcPr>
            <w:tcW w:type="dxa" w:w="60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(Auth for operator-only admin login, Firestore for catalog/orders/pricing, Storage for product images)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Paystack and/or Flutterwave SDK, enabled post-CAC-registration</w:t>
            </w:r>
          </w:p>
        </w:tc>
      </w:tr>
      <w:tr>
        <w:tc>
          <w:tcPr>
            <w:tcW w:type="dxa" w:w="30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Logistics</w:t>
            </w:r>
          </w:p>
        </w:tc>
        <w:tc>
          <w:tcPr>
            <w:tcW w:type="dxa" w:w="60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GIG Logistics API for delivery-fee calculation and shipment status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Messaging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WhatsApp Business (click-to-chat / Cloud API) for storefront-to-chat handoff</w:t>
            </w:r>
          </w:p>
        </w:tc>
      </w:tr>
    </w:tbl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This stack mirrors the toolchain already used across related builds, keeping deployment, auth, and data layers consistent.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10. Core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4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name, category, images, basePrice, markupOverride?, finalPrice (computed), stockQty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name, defaultMarkupPercent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customer, items[], basePriceTotal, markupTotal, deliveryFee, paymentRef, 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SupplierLedger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orderId, baseAmountOwed, date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SalaryLog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month, amount (₦80,000), 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MonthlySummary (view)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month, totalSales, totalOwedToSupplier, totalMarkupEarned, salary, netIncome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11. Legal &amp; Payment Setup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Register the business with the Corporate Affairs Commission (CAC) as Crownlith Solutions — required before Paystack or Flutterwave will approve a business account.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Open a registered business bank account under the CAC-registered name (Crownlith Solutions).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Enable Paystack and/or Flutterwave once the above is complete.</w:t>
      </w:r>
    </w:p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The registered CAC name (Crownlith Solutions) and the public brand name (Noma) are different by design: Crownlith Solutions is the formal legal entity; Noma is the public identity customers see on the website, social accounts, flyers, and logo.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12. Branding &amp; Marketing Requirements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12.1 Brand Identity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Noma is a short, coined brand name (in the style of Konga or Jumia) rather than a descriptive one. This keeps the business unlocked from any single product category, is easier to trademark, and reads as an established, ownable retail brand. Because a coined name carries no inherent meaning at launch, it must be paired with visible trust signals — CAC registration shown clearly, a real contact number, and a real face/story behind the brand.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12.2 Marketing &amp; Content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Instagram and TikTok accounts under the Noma name, posted to regularly with product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Flyers for local/offline promotion.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Trust-building content prioritized over hype — real proof, clear pricing, and responsiveness matter more to Nigerian buyers than polished ad language.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WhatsApp positioned as a key conversion channel alongside the website.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12.3 Core Palette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colors already used throughout this document double as the Noma brand palette, taken directly from the logo mark: deep navy and confident blue for trust and stability, a warm gold accent for highlights, and neutral paper tones for a clean, credible storefront.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shd w:fill="0A1A3D" w:color="auto" w:val="clear"/>
            <w:tcMar>
              <w:top w:type="dxa" w:w="22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Ink (Navy)</w:t>
            </w:r>
          </w:p>
          <w:p>
            <w:pPr>
              <w:spacing w:after="6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#0A1A3D</w:t>
            </w:r>
          </w:p>
        </w:tc>
        <w:tc>
          <w:tcPr>
            <w:tcW w:type="dxa" w:w="3009"/>
            <w:shd w:fill="F5F7FC" w:color="auto" w:val="clear"/>
            <w:tcMar>
              <w:top w:type="dxa" w:w="22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A1A3D"/>
                <w:sz w:val="19"/>
                <w:szCs w:val="19"/>
              </w:rPr>
              <w:t xml:space="preserve">Paper</w:t>
            </w:r>
          </w:p>
          <w:p>
            <w:pPr>
              <w:spacing w:after="60"/>
              <w:jc w:val="center"/>
            </w:pPr>
            <w:r>
              <w:rPr>
                <w:color w:val="0A1A3D"/>
                <w:sz w:val="17"/>
                <w:szCs w:val="17"/>
              </w:rPr>
              <w:t xml:space="preserve">#F5F7FC</w:t>
            </w:r>
          </w:p>
        </w:tc>
        <w:tc>
          <w:tcPr>
            <w:tcW w:type="dxa" w:w="3008"/>
            <w:shd w:fill="1049EB" w:color="auto" w:val="clear"/>
            <w:tcMar>
              <w:top w:type="dxa" w:w="22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Accent Blue</w:t>
            </w:r>
          </w:p>
          <w:p>
            <w:pPr>
              <w:spacing w:after="6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#1049EB</w:t>
            </w:r>
          </w:p>
        </w:tc>
      </w:tr>
      <w:tr>
        <w:tc>
          <w:tcPr>
            <w:tcW w:type="dxa" w:w="3009"/>
            <w:shd w:fill="FEB719" w:color="auto" w:val="clear"/>
            <w:tcMar>
              <w:top w:type="dxa" w:w="22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A1A3D"/>
                <w:sz w:val="19"/>
                <w:szCs w:val="19"/>
              </w:rPr>
              <w:t xml:space="preserve">Accent Gold</w:t>
            </w:r>
          </w:p>
          <w:p>
            <w:pPr>
              <w:spacing w:after="60"/>
              <w:jc w:val="center"/>
            </w:pPr>
            <w:r>
              <w:rPr>
                <w:color w:val="0A1A3D"/>
                <w:sz w:val="17"/>
                <w:szCs w:val="17"/>
              </w:rPr>
              <w:t xml:space="preserve">#FEB719</w:t>
            </w:r>
          </w:p>
        </w:tc>
        <w:tc>
          <w:tcPr>
            <w:tcW w:type="dxa" w:w="3009"/>
            <w:shd w:fill="EAF1FF" w:color="auto" w:val="clear"/>
            <w:tcMar>
              <w:top w:type="dxa" w:w="22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A1A3D"/>
                <w:sz w:val="19"/>
                <w:szCs w:val="19"/>
              </w:rPr>
              <w:t xml:space="preserve">Trust Tint</w:t>
            </w:r>
          </w:p>
          <w:p>
            <w:pPr>
              <w:spacing w:after="60"/>
              <w:jc w:val="center"/>
            </w:pPr>
            <w:r>
              <w:rPr>
                <w:color w:val="0A1A3D"/>
                <w:sz w:val="17"/>
                <w:szCs w:val="17"/>
              </w:rPr>
              <w:t xml:space="preserve">#EAF1FF</w:t>
            </w:r>
          </w:p>
        </w:tc>
        <w:tc>
          <w:tcPr>
            <w:tcW w:type="dxa" w:w="3008"/>
            <w:shd w:fill="222222" w:color="auto" w:val="clear"/>
            <w:tcMar>
              <w:top w:type="dxa" w:w="22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 Text</w:t>
            </w:r>
          </w:p>
          <w:p>
            <w:pPr>
              <w:spacing w:after="6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#222222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13. Roles &amp;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Party</w:t>
            </w:r>
          </w:p>
        </w:tc>
        <w:tc>
          <w:tcPr>
            <w:tcW w:type="dxa" w:w="6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UK Supplier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Sources goods, ships to Nigeria at own cost, sets base price per item; receives base price back plus fixed ₦80,000/month salary.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Operator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Sells goods via the website, sets markup per category/item, manages stock, fulfils orders; keeps all markup earned plus fixed salary.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(Website + Admin)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Storefront, checkout, delivery-fee calculation, payment processing, inventory management, profit/salary tracking — built and managed for the operator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14. Success Metrics (KPIs)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Checkout conversion rate (storefront visits → completed orders).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Average order value, tracked by category.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Monthly total operator income (salary + markup earned) via the admin summary 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Delivery accuracy: % of orders with correct auto-calculated delivery fee.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WhatsApp handoff rate from product pages.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Repeat customer rate month over month.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15. Rollout Plan &amp;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 catalog, product pages, admin inventory + pricing (category default + override), CAC registration in parallel.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 — Transactions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Checkout, GIG Logistics delivery-fee calculation, order management, profit/salary tracking in admin.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 — Payments Live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Paystack/Flutterwave enabled once CAC registration and business bank account are confirmed.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 — Growth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Brand/social rollout (Instagram, TikTok, flyers), WhatsApp conversion flow, monthly summary refinements.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16. Risks &amp; Assumptions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Risk: Payment activation is fully dependent on CAC registration timing — checkout cannot go fully live until this clears.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Risk: Any accidental exposure of base price/markup breakdown to customers undermines the pricing model — must be enforced at the API layer, not just hidden in the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Risk: A flat markup applied by mistake instead of category-based markup would erode margin on low-cost items or overprice bulky 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Assumption: GIG Logistics (or an equivalent courier) exposes an API suitable for real-time delivery-fee calculation at checkout.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Assumption: The operator remains the sole day-to-day user of the admin portal for the life of this version.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17. Appendix —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4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price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amount set by the UK supplier for an item; owed back to her on every sale.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Markup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amount the operator adds on top of the base price; hers to keep.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price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price + markup — the only price shown to the customer.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Corporate Affairs Commission — Nigeria's business registration authority.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Crownlith Solutions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CAC-registered legal entity behind the Noma brand.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999999"/>
        <w:sz w:val="15"/>
        <w:szCs w:val="15"/>
      </w:rPr>
      <w:t xml:space="preserve">Confidential — Crownlith Solutions (trading as Noma)</w:t>
    </w:r>
    <w:r>
      <w:rPr>
        <w:sz w:val="15"/>
        <w:szCs w:val="15"/>
      </w:rPr>
      <w:t xml:space="preserve">	</w:t>
    </w: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026"/>
      </w:tabs>
    </w:pPr>
    <w:r>
      <w:drawing>
        <wp:inline distT="0" distB="0" distL="0" distR="0">
          <wp:extent cx="11239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888888"/>
        <w:sz w:val="16"/>
        <w:szCs w:val="16"/>
      </w:rPr>
      <w:t xml:space="preserve">	Product Requirements Document</w:t>
    </w:r>
  </w:p>
  <w:p>
    <w:r>
      <w:drawing>
        <wp:anchor distT="0" distB="0" distL="0" distR="0" simplePos="0" allowOverlap="1" behindDoc="1" locked="0" layoutInCell="1" relativeHeight="32956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476750" cy="32956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0" cy="3295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fb3ff5d72636e82e10e99ffab326ac1afc4c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fb3ff5d72636e82e10e99ffab326ac1afc4c10.png"/><Relationship Id="rId1" Type="http://schemas.openxmlformats.org/officeDocument/2006/relationships/image" Target="media/0df40339725d7c13382477415752f9c4d714a6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2026-07-21T21:33:40.422Z</dcterms:created>
  <dcterms:modified xsi:type="dcterms:W3CDTF">2026-07-21T21:33:40.433Z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