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Calibri" w:cs="Calibri" w:eastAsia="Calibri" w:hAnsi="Calibri"/>
          <w:b/>
          <w:bCs/>
          <w:color w:val="0A1A3D"/>
          <w:sz w:val="60"/>
          <w:szCs w:val="60"/>
        </w:rPr>
        <w:t xml:space="preserve">NOMA</w:t>
      </w:r>
    </w:p>
    <w:p>
      <w:pPr>
        <w:spacing w:after="40"/>
      </w:pPr>
      <w:r>
        <w:rPr>
          <w:rFonts w:ascii="Calibri" w:cs="Calibri" w:eastAsia="Calibri" w:hAnsi="Calibri"/>
          <w:i/>
          <w:iCs/>
          <w:color w:val="1049EB"/>
          <w:sz w:val="26"/>
          <w:szCs w:val="26"/>
        </w:rPr>
        <w:t xml:space="preserve">Everything You Need</w:t>
      </w:r>
    </w:p>
    <w:p>
      <w:pPr>
        <w:spacing w:after="60" w:before="300"/>
      </w:pPr>
      <w:r>
        <w:rPr>
          <w:rFonts w:ascii="Calibri" w:cs="Calibri" w:eastAsia="Calibri" w:hAnsi="Calibri"/>
          <w:b/>
          <w:bCs/>
          <w:color w:val="0A1A3D"/>
          <w:sz w:val="34"/>
          <w:szCs w:val="34"/>
        </w:rPr>
        <w:t xml:space="preserve">UX &amp; Screen Design Document</w:t>
      </w:r>
    </w:p>
    <w:p>
      <w:pPr>
        <w:spacing w:after="20"/>
      </w:pPr>
      <w:r>
        <w:rPr>
          <w:rFonts w:ascii="Calibri" w:cs="Calibri" w:eastAsia="Calibri" w:hAnsi="Calibri"/>
          <w:color w:val="222222"/>
          <w:sz w:val="22"/>
          <w:szCs w:val="22"/>
        </w:rPr>
        <w:t xml:space="preserve">Storefront + Operator Admin Portal — Screen-by-Screen Specification &amp; Flow</w:t>
      </w:r>
    </w:p>
    <w:p>
      <w:pPr>
        <w:spacing w:after="20" w:before="300"/>
      </w:pPr>
      <w:r>
        <w:rPr>
          <w:rFonts w:ascii="Calibri" w:cs="Calibri" w:eastAsia="Calibri" w:hAnsi="Calibri"/>
          <w:color w:val="222222"/>
          <w:sz w:val="20"/>
          <w:szCs w:val="20"/>
        </w:rPr>
        <w:t xml:space="preserve">Version 1.0  |  Draft for Review  |  21 July 2026</w:t>
      </w:r>
    </w:p>
    <w:p>
      <w:pPr>
        <w:spacing w:after="20"/>
      </w:pPr>
      <w:r>
        <w:rPr>
          <w:rFonts w:ascii="Calibri" w:cs="Calibri" w:eastAsia="Calibri" w:hAnsi="Calibri"/>
          <w:color w:val="222222"/>
          <w:sz w:val="20"/>
          <w:szCs w:val="20"/>
        </w:rPr>
        <w:t xml:space="preserve">Companion to: Noma PRD v1.1</w:t>
      </w:r>
    </w:p>
    <w:p>
      <w:r>
        <w:br w:type="page"/>
      </w:r>
    </w:p>
    <w:p>
      <w:pPr>
        <w:pStyle w:val="Heading1"/>
        <w:pBdr>
          <w:bottom w:val="single" w:color="FEB719" w:sz="12" w:space="4"/>
        </w:pBdr>
        <w:spacing w:after="200" w:before="400"/>
      </w:pPr>
      <w:r>
        <w:rPr>
          <w:rFonts w:ascii="Calibri" w:cs="Calibri" w:eastAsia="Calibri" w:hAnsi="Calibri"/>
          <w:b/>
          <w:bCs/>
          <w:color w:val="0A1A3D"/>
          <w:sz w:val="30"/>
          <w:szCs w:val="30"/>
        </w:rPr>
        <w:t xml:space="preserve">1. Purpose of This Document</w:t>
      </w:r>
    </w:p>
    <w:p>
      <w:pPr>
        <w:spacing w:after="140"/>
      </w:pPr>
      <w:r>
        <w:rPr>
          <w:rFonts w:ascii="Calibri" w:cs="Calibri" w:eastAsia="Calibri" w:hAnsi="Calibri"/>
          <w:i w:val="false"/>
          <w:iCs w:val="false"/>
          <w:color w:val="222222"/>
          <w:sz w:val="21"/>
          <w:szCs w:val="21"/>
        </w:rPr>
        <w:t xml:space="preserve">This document translates the Noma Product Requirements Document into a screen-by-screen UX design specification for both the customer storefront and the operator-only admin portal. It is grounded in current (2026) e-commerce UX research — mobile-first design, checkout friction reduction, trust-signal placement, and conversational commerce — and adapts that research specifically to Noma's situation: a newly coined brand with no prior reputation, selling to price-conscious Nigerian mobile shoppers, where WhatsApp is a primary and expected conversion channel, and where a strict internal rule (base price and markup must never be visible to the customer) has to be enforced by design as much as by the API layer.</w:t>
      </w:r>
    </w:p>
    <w:p>
      <w:pPr>
        <w:spacing w:after="140"/>
      </w:pPr>
      <w:r>
        <w:rPr>
          <w:rFonts w:ascii="Calibri" w:cs="Calibri" w:eastAsia="Calibri" w:hAnsi="Calibri"/>
          <w:i w:val="false"/>
          <w:iCs w:val="false"/>
          <w:color w:val="222222"/>
          <w:sz w:val="21"/>
          <w:szCs w:val="21"/>
        </w:rPr>
        <w:t xml:space="preserve">Two audiences are designed for separately but consistently, using one shared visual language: the Customer (storefront) and the Operator (admin portal, single user).</w:t>
      </w:r>
    </w:p>
    <w:p>
      <w:pPr>
        <w:pStyle w:val="Heading1"/>
        <w:pBdr>
          <w:bottom w:val="single" w:color="FEB719" w:sz="12" w:space="4"/>
        </w:pBdr>
        <w:spacing w:after="200" w:before="400"/>
      </w:pPr>
      <w:r>
        <w:rPr>
          <w:rFonts w:ascii="Calibri" w:cs="Calibri" w:eastAsia="Calibri" w:hAnsi="Calibri"/>
          <w:b/>
          <w:bCs/>
          <w:color w:val="0A1A3D"/>
          <w:sz w:val="30"/>
          <w:szCs w:val="30"/>
        </w:rPr>
        <w:t xml:space="preserve">2. What the Research Says, and What It Means for Noma</w:t>
      </w:r>
    </w:p>
    <w:p>
      <w:pPr>
        <w:pStyle w:val="Heading2"/>
        <w:spacing w:after="120" w:before="300"/>
      </w:pPr>
      <w:r>
        <w:rPr>
          <w:rFonts w:ascii="Calibri" w:cs="Calibri" w:eastAsia="Calibri" w:hAnsi="Calibri"/>
          <w:b/>
          <w:bCs/>
          <w:color w:val="1049EB"/>
          <w:sz w:val="24"/>
          <w:szCs w:val="24"/>
        </w:rPr>
        <w:t xml:space="preserve">2.1 Mobile is not a secondary surface — it is the primary product</w:t>
      </w:r>
    </w:p>
    <w:p>
      <w:pPr>
        <w:spacing w:after="140"/>
      </w:pPr>
      <w:r>
        <w:rPr>
          <w:rFonts w:ascii="Calibri" w:cs="Calibri" w:eastAsia="Calibri" w:hAnsi="Calibri"/>
          <w:i w:val="false"/>
          <w:iCs w:val="false"/>
          <w:color w:val="222222"/>
          <w:sz w:val="21"/>
          <w:szCs w:val="21"/>
        </w:rPr>
        <w:t xml:space="preserve">Mobile devices account for the clear majority of e-commerce traffic and purchases in 2026, and in Nigeria specifically the great majority of shoppers browse and buy on their phones, often on slower mobile data. Load speed under roughly 2.5–3 seconds and thumb-reachable controls are not polish — they are the baseline a shopper needs before they will trust a store enough to check out.</w:t>
      </w:r>
    </w:p>
    <w:p>
      <w:pPr>
        <w:pStyle w:val="ListParagraph"/>
        <w:numPr>
          <w:ilvl w:val="0"/>
          <w:numId w:val="2"/>
        </w:numPr>
        <w:spacing w:after="60"/>
      </w:pPr>
      <w:r>
        <w:rPr>
          <w:rFonts w:ascii="Calibri" w:cs="Calibri" w:eastAsia="Calibri" w:hAnsi="Calibri"/>
          <w:color w:val="222222"/>
          <w:sz w:val="21"/>
          <w:szCs w:val="21"/>
        </w:rPr>
        <w:t xml:space="preserve">Design mobile layouts first, then adapt upward to tablet/desktop — never shrink a desktop layout down.</w:t>
      </w:r>
    </w:p>
    <w:p>
      <w:pPr>
        <w:pStyle w:val="ListParagraph"/>
        <w:numPr>
          <w:ilvl w:val="0"/>
          <w:numId w:val="2"/>
        </w:numPr>
        <w:spacing w:after="60"/>
      </w:pPr>
      <w:r>
        <w:rPr>
          <w:rFonts w:ascii="Calibri" w:cs="Calibri" w:eastAsia="Calibri" w:hAnsi="Calibri"/>
          <w:color w:val="222222"/>
          <w:sz w:val="21"/>
          <w:szCs w:val="21"/>
        </w:rPr>
        <w:t xml:space="preserve">Compress and lazy-load product imagery; keep the first screen a shopper sees (hero + first product row) extremely light.</w:t>
      </w:r>
    </w:p>
    <w:p>
      <w:pPr>
        <w:pStyle w:val="ListParagraph"/>
        <w:numPr>
          <w:ilvl w:val="0"/>
          <w:numId w:val="2"/>
        </w:numPr>
        <w:spacing w:after="60"/>
      </w:pPr>
      <w:r>
        <w:rPr>
          <w:rFonts w:ascii="Calibri" w:cs="Calibri" w:eastAsia="Calibri" w:hAnsi="Calibri"/>
          <w:color w:val="222222"/>
          <w:sz w:val="21"/>
          <w:szCs w:val="21"/>
        </w:rPr>
        <w:t xml:space="preserve">Every tappable control sized and spaced for one-handed thumb use, not mouse-precision clicking.</w:t>
      </w:r>
    </w:p>
    <w:p>
      <w:pPr>
        <w:pStyle w:val="Heading2"/>
        <w:spacing w:after="120" w:before="300"/>
      </w:pPr>
      <w:r>
        <w:rPr>
          <w:rFonts w:ascii="Calibri" w:cs="Calibri" w:eastAsia="Calibri" w:hAnsi="Calibri"/>
          <w:b/>
          <w:bCs/>
          <w:color w:val="1049EB"/>
          <w:sz w:val="24"/>
          <w:szCs w:val="24"/>
        </w:rPr>
        <w:t xml:space="preserve">2.2 Trust has to be manufactured, deliberately, because the brand name carries none yet</w:t>
      </w:r>
    </w:p>
    <w:p>
      <w:pPr>
        <w:spacing w:after="140"/>
      </w:pPr>
      <w:r>
        <w:rPr>
          <w:rFonts w:ascii="Calibri" w:cs="Calibri" w:eastAsia="Calibri" w:hAnsi="Calibri"/>
          <w:i w:val="false"/>
          <w:iCs w:val="false"/>
          <w:color w:val="222222"/>
          <w:sz w:val="21"/>
          <w:szCs w:val="21"/>
        </w:rPr>
        <w:t xml:space="preserve">Noma is a coined name with no built-in meaning, competing in a market where research shows most online shoppers assume a store is unproven until it proves otherwise. Trust signals work best when placed at the exact moment of doubt — near the price on a product page, next to the payment button at checkout, not buried in a footer. For Noma, the trust signals that matter most are the ones named directly in the PRD: CAC registration, a real phone number, and a real face/story, shown at the moments a first-time buyer is deciding whether to proceed, not just listed once on an About page.</w:t>
      </w:r>
    </w:p>
    <w:p>
      <w:pPr>
        <w:pStyle w:val="ListParagraph"/>
        <w:numPr>
          <w:ilvl w:val="0"/>
          <w:numId w:val="2"/>
        </w:numPr>
        <w:spacing w:after="60"/>
      </w:pPr>
      <w:r>
        <w:rPr>
          <w:rFonts w:ascii="Calibri" w:cs="Calibri" w:eastAsia="Calibri" w:hAnsi="Calibri"/>
          <w:color w:val="222222"/>
          <w:sz w:val="21"/>
          <w:szCs w:val="21"/>
        </w:rPr>
        <w:t xml:space="preserve">Registration/legitimacy marks and a real contact number appear in the header/footer of every page, not just an About page.</w:t>
      </w:r>
    </w:p>
    <w:p>
      <w:pPr>
        <w:pStyle w:val="ListParagraph"/>
        <w:numPr>
          <w:ilvl w:val="0"/>
          <w:numId w:val="2"/>
        </w:numPr>
        <w:spacing w:after="60"/>
      </w:pPr>
      <w:r>
        <w:rPr>
          <w:rFonts w:ascii="Calibri" w:cs="Calibri" w:eastAsia="Calibri" w:hAnsi="Calibri"/>
          <w:color w:val="222222"/>
          <w:sz w:val="21"/>
          <w:szCs w:val="21"/>
        </w:rPr>
        <w:t xml:space="preserve">A short, human 'who's behind Noma' block appears on the home page — not hidden away — because a coined name needs a face attached to it quickly.</w:t>
      </w:r>
    </w:p>
    <w:p>
      <w:pPr>
        <w:pStyle w:val="ListParagraph"/>
        <w:numPr>
          <w:ilvl w:val="0"/>
          <w:numId w:val="2"/>
        </w:numPr>
        <w:spacing w:after="60"/>
      </w:pPr>
      <w:r>
        <w:rPr>
          <w:rFonts w:ascii="Calibri" w:cs="Calibri" w:eastAsia="Calibri" w:hAnsi="Calibri"/>
          <w:color w:val="222222"/>
          <w:sz w:val="21"/>
          <w:szCs w:val="21"/>
        </w:rPr>
        <w:t xml:space="preserve">Delivery fee, return terms, and payment security cues sit directly beside the price and the pay button, not in a separate policy page.</w:t>
      </w:r>
    </w:p>
    <w:p>
      <w:pPr>
        <w:pStyle w:val="Heading2"/>
        <w:spacing w:after="120" w:before="300"/>
      </w:pPr>
      <w:r>
        <w:rPr>
          <w:rFonts w:ascii="Calibri" w:cs="Calibri" w:eastAsia="Calibri" w:hAnsi="Calibri"/>
          <w:b/>
          <w:bCs/>
          <w:color w:val="1049EB"/>
          <w:sz w:val="24"/>
          <w:szCs w:val="24"/>
        </w:rPr>
        <w:t xml:space="preserve">2.3 WhatsApp is a parallel checkout, not a support afterthought</w:t>
      </w:r>
    </w:p>
    <w:p>
      <w:pPr>
        <w:spacing w:after="140"/>
      </w:pPr>
      <w:r>
        <w:rPr>
          <w:rFonts w:ascii="Calibri" w:cs="Calibri" w:eastAsia="Calibri" w:hAnsi="Calibri"/>
          <w:i w:val="false"/>
          <w:iCs w:val="false"/>
          <w:color w:val="222222"/>
          <w:sz w:val="21"/>
          <w:szCs w:val="21"/>
        </w:rPr>
        <w:t xml:space="preserve">In the Nigerian market, a large share of purchase decisions are finalized in a direct chat rather than a web form — shoppers use WhatsApp status, chats, and social proof more readily than they trust an unfamiliar checkout page. The PRD already requires a WhatsApp CTA (FR-6); the research reinforces that this needs to be a persistent, prominent, product-aware entry point — not a small icon in the footer — because for a meaningful share of Noma's first-time buyers, WhatsApp will be the actual point of conversion.</w:t>
      </w:r>
    </w:p>
    <w:p>
      <w:pPr>
        <w:pStyle w:val="Heading2"/>
        <w:spacing w:after="120" w:before="300"/>
      </w:pPr>
      <w:r>
        <w:rPr>
          <w:rFonts w:ascii="Calibri" w:cs="Calibri" w:eastAsia="Calibri" w:hAnsi="Calibri"/>
          <w:b/>
          <w:bCs/>
          <w:color w:val="1049EB"/>
          <w:sz w:val="24"/>
          <w:szCs w:val="24"/>
        </w:rPr>
        <w:t xml:space="preserve">2.4 Category-aware pricing psychology should be visible in layout, not just in the pricing engine</w:t>
      </w:r>
    </w:p>
    <w:p>
      <w:pPr>
        <w:spacing w:after="140"/>
      </w:pPr>
      <w:r>
        <w:rPr>
          <w:rFonts w:ascii="Calibri" w:cs="Calibri" w:eastAsia="Calibri" w:hAnsi="Calibri"/>
          <w:i w:val="false"/>
          <w:iCs w:val="false"/>
          <w:color w:val="222222"/>
          <w:sz w:val="21"/>
          <w:szCs w:val="21"/>
        </w:rPr>
        <w:t xml:space="preserve">The PRD's category-based markup strategy (Section 5.3) reflects that price sensitivity differs sharply between a bicycle and a bag of rice. The storefront should mirror that logic visually: bulky/expensive categories (bicycles, appliances) get more reassurance and financing/delivery clarity near the price; small, low-cost items (cooking materials, general goods) get faster, lighter browsing with less friction, since the decision there is closer to impulse.</w:t>
      </w:r>
    </w:p>
    <w:p>
      <w:pPr>
        <w:pStyle w:val="Heading2"/>
        <w:spacing w:after="120" w:before="300"/>
      </w:pPr>
      <w:r>
        <w:rPr>
          <w:rFonts w:ascii="Calibri" w:cs="Calibri" w:eastAsia="Calibri" w:hAnsi="Calibri"/>
          <w:b/>
          <w:bCs/>
          <w:color w:val="1049EB"/>
          <w:sz w:val="24"/>
          <w:szCs w:val="24"/>
        </w:rPr>
        <w:t xml:space="preserve">2.5 Admin tools for a single operator should read as a daily control panel, not enterprise software</w:t>
      </w:r>
    </w:p>
    <w:p>
      <w:pPr>
        <w:spacing w:after="140"/>
      </w:pPr>
      <w:r>
        <w:rPr>
          <w:rFonts w:ascii="Calibri" w:cs="Calibri" w:eastAsia="Calibri" w:hAnsi="Calibri"/>
          <w:i w:val="false"/>
          <w:iCs w:val="false"/>
          <w:color w:val="222222"/>
          <w:sz w:val="21"/>
          <w:szCs w:val="21"/>
        </w:rPr>
        <w:t xml:space="preserve">Admin dashboard research for 2026 consistently favors a small number of clear, task-oriented views over deep multi-level navigation when there is exactly one user. Since Noma's admin portal (FR-7 to FR-13) has only one operator and no team to coordinate, the design should prioritize a single home dashboard that answers 'what do I need to do today, and what have I earned this month' at a glance, with everything else one tap away — rather than a sprawling enterprise-style sidebar built for a team that doesn't exist here.</w:t>
      </w:r>
    </w:p>
    <w:p>
      <w:pPr>
        <w:pStyle w:val="Heading1"/>
        <w:pBdr>
          <w:bottom w:val="single" w:color="FEB719" w:sz="12" w:space="4"/>
        </w:pBdr>
        <w:spacing w:after="200" w:before="400"/>
      </w:pPr>
      <w:r>
        <w:rPr>
          <w:rFonts w:ascii="Calibri" w:cs="Calibri" w:eastAsia="Calibri" w:hAnsi="Calibri"/>
          <w:b/>
          <w:bCs/>
          <w:color w:val="0A1A3D"/>
          <w:sz w:val="30"/>
          <w:szCs w:val="30"/>
        </w:rPr>
        <w:t xml:space="preserve">3. Noma Design Principles</w:t>
      </w:r>
    </w:p>
    <w:p>
      <w:pPr>
        <w:pStyle w:val="ListParagraph"/>
        <w:numPr>
          <w:ilvl w:val="0"/>
          <w:numId w:val="2"/>
        </w:numPr>
        <w:spacing w:after="60"/>
      </w:pPr>
      <w:r>
        <w:rPr>
          <w:rFonts w:ascii="Calibri" w:cs="Calibri" w:eastAsia="Calibri" w:hAnsi="Calibri"/>
          <w:color w:val="222222"/>
          <w:sz w:val="21"/>
          <w:szCs w:val="21"/>
        </w:rPr>
        <w:t xml:space="preserve">Mobile-first, thumb-first — every screen is designed at 375–414px width before anything wider.</w:t>
      </w:r>
    </w:p>
    <w:p>
      <w:pPr>
        <w:pStyle w:val="ListParagraph"/>
        <w:numPr>
          <w:ilvl w:val="0"/>
          <w:numId w:val="2"/>
        </w:numPr>
        <w:spacing w:after="60"/>
      </w:pPr>
      <w:r>
        <w:rPr>
          <w:rFonts w:ascii="Calibri" w:cs="Calibri" w:eastAsia="Calibri" w:hAnsi="Calibri"/>
          <w:color w:val="222222"/>
          <w:sz w:val="21"/>
          <w:szCs w:val="21"/>
        </w:rPr>
        <w:t xml:space="preserve">Price integrity by design — no UI surface, admin export, or API response ever renders base price + markup side by side where a customer could see it; the split only ever appears inside the authenticated admin portal.</w:t>
      </w:r>
    </w:p>
    <w:p>
      <w:pPr>
        <w:pStyle w:val="ListParagraph"/>
        <w:numPr>
          <w:ilvl w:val="0"/>
          <w:numId w:val="2"/>
        </w:numPr>
        <w:spacing w:after="60"/>
      </w:pPr>
      <w:r>
        <w:rPr>
          <w:rFonts w:ascii="Calibri" w:cs="Calibri" w:eastAsia="Calibri" w:hAnsi="Calibri"/>
          <w:color w:val="222222"/>
          <w:sz w:val="21"/>
          <w:szCs w:val="21"/>
        </w:rPr>
        <w:t xml:space="preserve">Trust is placed at the moment of doubt — CAC badge, phone number, and delivery/return terms live next to the decision point, not in a separate page nobody opens.</w:t>
      </w:r>
    </w:p>
    <w:p>
      <w:pPr>
        <w:pStyle w:val="ListParagraph"/>
        <w:numPr>
          <w:ilvl w:val="0"/>
          <w:numId w:val="2"/>
        </w:numPr>
        <w:spacing w:after="60"/>
      </w:pPr>
      <w:r>
        <w:rPr>
          <w:rFonts w:ascii="Calibri" w:cs="Calibri" w:eastAsia="Calibri" w:hAnsi="Calibri"/>
          <w:color w:val="222222"/>
          <w:sz w:val="21"/>
          <w:szCs w:val="21"/>
        </w:rPr>
        <w:t xml:space="preserve">WhatsApp is a first-class exit, always visible — never more than one tap from any product.</w:t>
      </w:r>
    </w:p>
    <w:p>
      <w:pPr>
        <w:pStyle w:val="ListParagraph"/>
        <w:numPr>
          <w:ilvl w:val="0"/>
          <w:numId w:val="2"/>
        </w:numPr>
        <w:spacing w:after="60"/>
      </w:pPr>
      <w:r>
        <w:rPr>
          <w:rFonts w:ascii="Calibri" w:cs="Calibri" w:eastAsia="Calibri" w:hAnsi="Calibri"/>
          <w:color w:val="222222"/>
          <w:sz w:val="21"/>
          <w:szCs w:val="21"/>
        </w:rPr>
        <w:t xml:space="preserve">Calm, confident retail tone — deep navy and paper tones carry the 'established business' read; gold is used sparingly, only for price, CTAs, and highlights, so it keeps its power.</w:t>
      </w:r>
    </w:p>
    <w:p>
      <w:pPr>
        <w:pStyle w:val="ListParagraph"/>
        <w:numPr>
          <w:ilvl w:val="0"/>
          <w:numId w:val="2"/>
        </w:numPr>
        <w:spacing w:after="60"/>
      </w:pPr>
      <w:r>
        <w:rPr>
          <w:rFonts w:ascii="Calibri" w:cs="Calibri" w:eastAsia="Calibri" w:hAnsi="Calibri"/>
          <w:color w:val="222222"/>
          <w:sz w:val="21"/>
          <w:szCs w:val="21"/>
        </w:rPr>
        <w:t xml:space="preserve">One dashboard, not a maze — the operator should never need more than two taps to reach any of the six admin tasks.</w:t>
      </w:r>
    </w:p>
    <w:p>
      <w:pPr>
        <w:pStyle w:val="Heading1"/>
        <w:pBdr>
          <w:bottom w:val="single" w:color="FEB719" w:sz="12" w:space="4"/>
        </w:pBdr>
        <w:spacing w:after="200" w:before="400"/>
      </w:pPr>
      <w:r>
        <w:rPr>
          <w:rFonts w:ascii="Calibri" w:cs="Calibri" w:eastAsia="Calibri" w:hAnsi="Calibri"/>
          <w:b/>
          <w:bCs/>
          <w:color w:val="0A1A3D"/>
          <w:sz w:val="30"/>
          <w:szCs w:val="30"/>
        </w:rPr>
        <w:t xml:space="preserve">4. Visual System</w:t>
      </w:r>
    </w:p>
    <w:p>
      <w:pPr>
        <w:pStyle w:val="Heading2"/>
        <w:spacing w:after="120" w:before="300"/>
      </w:pPr>
      <w:r>
        <w:rPr>
          <w:rFonts w:ascii="Calibri" w:cs="Calibri" w:eastAsia="Calibri" w:hAnsi="Calibri"/>
          <w:b/>
          <w:bCs/>
          <w:color w:val="1049EB"/>
          <w:sz w:val="24"/>
          <w:szCs w:val="24"/>
        </w:rPr>
        <w:t xml:space="preserve">4.1 Palette (from the Noma brand mark, as defined in the PRD)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80"/>
            <w:shd w:fill="0A1A3D" w:color="auto" w:val="clear"/>
            <w:tcMar>
              <w:top w:type="dxa" w:w="220"/>
              <w:left w:type="dxa" w:w="100"/>
              <w:bottom w:type="dxa" w:w="220"/>
              <w:right w:type="dxa" w:w="100"/>
            </w:tcMar>
          </w:tcPr>
          <w:p>
            <w:pPr>
              <w:jc w:val="center"/>
            </w:pPr>
            <w:r>
              <w:rPr>
                <w:rFonts w:ascii="Calibri" w:cs="Calibri" w:eastAsia="Calibri" w:hAnsi="Calibri"/>
                <w:b/>
                <w:bCs/>
                <w:color w:val="FFFFFF"/>
                <w:sz w:val="18"/>
                <w:szCs w:val="18"/>
              </w:rPr>
              <w:t xml:space="preserve">Ink / Navy</w:t>
            </w:r>
          </w:p>
          <w:p>
            <w:pPr>
              <w:jc w:val="center"/>
            </w:pPr>
            <w:r>
              <w:rPr>
                <w:rFonts w:ascii="Calibri" w:cs="Calibri" w:eastAsia="Calibri" w:hAnsi="Calibri"/>
                <w:color w:val="FFFFFF"/>
                <w:sz w:val="16"/>
                <w:szCs w:val="16"/>
              </w:rPr>
              <w:t xml:space="preserve">#0A1A3D</w:t>
            </w:r>
          </w:p>
        </w:tc>
        <w:tc>
          <w:tcPr>
            <w:tcW w:type="dxa" w:w="3180"/>
            <w:shd w:fill="F5F7FC" w:color="auto" w:val="clear"/>
            <w:tcMar>
              <w:top w:type="dxa" w:w="220"/>
              <w:left w:type="dxa" w:w="100"/>
              <w:bottom w:type="dxa" w:w="220"/>
              <w:right w:type="dxa" w:w="100"/>
            </w:tcMar>
          </w:tcPr>
          <w:p>
            <w:pPr>
              <w:jc w:val="center"/>
            </w:pPr>
            <w:r>
              <w:rPr>
                <w:rFonts w:ascii="Calibri" w:cs="Calibri" w:eastAsia="Calibri" w:hAnsi="Calibri"/>
                <w:b/>
                <w:bCs/>
                <w:color w:val="0A1A3D"/>
                <w:sz w:val="18"/>
                <w:szCs w:val="18"/>
              </w:rPr>
              <w:t xml:space="preserve">Paper</w:t>
            </w:r>
          </w:p>
          <w:p>
            <w:pPr>
              <w:jc w:val="center"/>
            </w:pPr>
            <w:r>
              <w:rPr>
                <w:rFonts w:ascii="Calibri" w:cs="Calibri" w:eastAsia="Calibri" w:hAnsi="Calibri"/>
                <w:color w:val="0A1A3D"/>
                <w:sz w:val="16"/>
                <w:szCs w:val="16"/>
              </w:rPr>
              <w:t xml:space="preserve">#F5F7FC</w:t>
            </w:r>
          </w:p>
        </w:tc>
        <w:tc>
          <w:tcPr>
            <w:tcW w:type="dxa" w:w="3180"/>
            <w:shd w:fill="1049EB" w:color="auto" w:val="clear"/>
            <w:tcMar>
              <w:top w:type="dxa" w:w="220"/>
              <w:left w:type="dxa" w:w="100"/>
              <w:bottom w:type="dxa" w:w="220"/>
              <w:right w:type="dxa" w:w="100"/>
            </w:tcMar>
          </w:tcPr>
          <w:p>
            <w:pPr>
              <w:jc w:val="center"/>
            </w:pPr>
            <w:r>
              <w:rPr>
                <w:rFonts w:ascii="Calibri" w:cs="Calibri" w:eastAsia="Calibri" w:hAnsi="Calibri"/>
                <w:b/>
                <w:bCs/>
                <w:color w:val="FFFFFF"/>
                <w:sz w:val="18"/>
                <w:szCs w:val="18"/>
              </w:rPr>
              <w:t xml:space="preserve">Accent Blue</w:t>
            </w:r>
          </w:p>
          <w:p>
            <w:pPr>
              <w:jc w:val="center"/>
            </w:pPr>
            <w:r>
              <w:rPr>
                <w:rFonts w:ascii="Calibri" w:cs="Calibri" w:eastAsia="Calibri" w:hAnsi="Calibri"/>
                <w:color w:val="FFFFFF"/>
                <w:sz w:val="16"/>
                <w:szCs w:val="16"/>
              </w:rPr>
              <w:t xml:space="preserve">#1049EB</w:t>
            </w:r>
          </w:p>
        </w:tc>
      </w:tr>
      <w:tr>
        <w:tc>
          <w:tcPr>
            <w:tcW w:type="dxa" w:w="3180"/>
            <w:shd w:fill="FEB719" w:color="auto" w:val="clear"/>
            <w:tcMar>
              <w:top w:type="dxa" w:w="220"/>
              <w:left w:type="dxa" w:w="100"/>
              <w:bottom w:type="dxa" w:w="220"/>
              <w:right w:type="dxa" w:w="100"/>
            </w:tcMar>
          </w:tcPr>
          <w:p>
            <w:pPr>
              <w:jc w:val="center"/>
            </w:pPr>
            <w:r>
              <w:rPr>
                <w:rFonts w:ascii="Calibri" w:cs="Calibri" w:eastAsia="Calibri" w:hAnsi="Calibri"/>
                <w:b/>
                <w:bCs/>
                <w:color w:val="0A1A3D"/>
                <w:sz w:val="18"/>
                <w:szCs w:val="18"/>
              </w:rPr>
              <w:t xml:space="preserve">Accent Gold</w:t>
            </w:r>
          </w:p>
          <w:p>
            <w:pPr>
              <w:jc w:val="center"/>
            </w:pPr>
            <w:r>
              <w:rPr>
                <w:rFonts w:ascii="Calibri" w:cs="Calibri" w:eastAsia="Calibri" w:hAnsi="Calibri"/>
                <w:color w:val="0A1A3D"/>
                <w:sz w:val="16"/>
                <w:szCs w:val="16"/>
              </w:rPr>
              <w:t xml:space="preserve">#FEB719</w:t>
            </w:r>
          </w:p>
        </w:tc>
        <w:tc>
          <w:tcPr>
            <w:tcW w:type="dxa" w:w="3180"/>
            <w:shd w:fill="EAF1FF" w:color="auto" w:val="clear"/>
            <w:tcMar>
              <w:top w:type="dxa" w:w="220"/>
              <w:left w:type="dxa" w:w="100"/>
              <w:bottom w:type="dxa" w:w="220"/>
              <w:right w:type="dxa" w:w="100"/>
            </w:tcMar>
          </w:tcPr>
          <w:p>
            <w:pPr>
              <w:jc w:val="center"/>
            </w:pPr>
            <w:r>
              <w:rPr>
                <w:rFonts w:ascii="Calibri" w:cs="Calibri" w:eastAsia="Calibri" w:hAnsi="Calibri"/>
                <w:b/>
                <w:bCs/>
                <w:color w:val="0A1A3D"/>
                <w:sz w:val="18"/>
                <w:szCs w:val="18"/>
              </w:rPr>
              <w:t xml:space="preserve">Trust Tint</w:t>
            </w:r>
          </w:p>
          <w:p>
            <w:pPr>
              <w:jc w:val="center"/>
            </w:pPr>
            <w:r>
              <w:rPr>
                <w:rFonts w:ascii="Calibri" w:cs="Calibri" w:eastAsia="Calibri" w:hAnsi="Calibri"/>
                <w:color w:val="0A1A3D"/>
                <w:sz w:val="16"/>
                <w:szCs w:val="16"/>
              </w:rPr>
              <w:t xml:space="preserve">#EAF1FF</w:t>
            </w:r>
          </w:p>
        </w:tc>
        <w:tc>
          <w:tcPr>
            <w:tcW w:type="dxa" w:w="3180"/>
            <w:shd w:fill="222222" w:color="auto" w:val="clear"/>
            <w:tcMar>
              <w:top w:type="dxa" w:w="220"/>
              <w:left w:type="dxa" w:w="100"/>
              <w:bottom w:type="dxa" w:w="220"/>
              <w:right w:type="dxa" w:w="100"/>
            </w:tcMar>
          </w:tcPr>
          <w:p>
            <w:pPr>
              <w:jc w:val="center"/>
            </w:pPr>
            <w:r>
              <w:rPr>
                <w:rFonts w:ascii="Calibri" w:cs="Calibri" w:eastAsia="Calibri" w:hAnsi="Calibri"/>
                <w:b/>
                <w:bCs/>
                <w:color w:val="FFFFFF"/>
                <w:sz w:val="18"/>
                <w:szCs w:val="18"/>
              </w:rPr>
              <w:t xml:space="preserve">Body Text</w:t>
            </w:r>
          </w:p>
          <w:p>
            <w:pPr>
              <w:jc w:val="center"/>
            </w:pPr>
            <w:r>
              <w:rPr>
                <w:rFonts w:ascii="Calibri" w:cs="Calibri" w:eastAsia="Calibri" w:hAnsi="Calibri"/>
                <w:color w:val="FFFFFF"/>
                <w:sz w:val="16"/>
                <w:szCs w:val="16"/>
              </w:rPr>
              <w:t xml:space="preserve">#222222</w:t>
            </w:r>
          </w:p>
        </w:tc>
      </w:tr>
    </w:tbl>
    <w:p>
      <w:pPr>
        <w:spacing w:after="80" w:before="160"/>
      </w:pPr>
    </w:p>
    <w:p>
      <w:pPr>
        <w:pStyle w:val="Heading2"/>
        <w:spacing w:after="120" w:before="300"/>
      </w:pPr>
      <w:r>
        <w:rPr>
          <w:rFonts w:ascii="Calibri" w:cs="Calibri" w:eastAsia="Calibri" w:hAnsi="Calibri"/>
          <w:b/>
          <w:bCs/>
          <w:color w:val="1049EB"/>
          <w:sz w:val="24"/>
          <w:szCs w:val="24"/>
        </w:rPr>
        <w:t xml:space="preserve">4.2 How each color is used</w:t>
      </w:r>
    </w:p>
    <w:p>
      <w:pPr>
        <w:pStyle w:val="ListParagraph"/>
        <w:numPr>
          <w:ilvl w:val="0"/>
          <w:numId w:val="2"/>
        </w:numPr>
        <w:spacing w:after="60"/>
      </w:pPr>
      <w:r>
        <w:rPr>
          <w:rFonts w:ascii="Calibri" w:cs="Calibri" w:eastAsia="Calibri" w:hAnsi="Calibri"/>
          <w:color w:val="222222"/>
          <w:sz w:val="21"/>
          <w:szCs w:val="21"/>
        </w:rPr>
        <w:t xml:space="preserve">Ink (Navy) — headers, primary navigation, footer, and the admin portal's dominant surface color; signals stability and an established business.</w:t>
      </w:r>
    </w:p>
    <w:p>
      <w:pPr>
        <w:pStyle w:val="ListParagraph"/>
        <w:numPr>
          <w:ilvl w:val="0"/>
          <w:numId w:val="2"/>
        </w:numPr>
        <w:spacing w:after="60"/>
      </w:pPr>
      <w:r>
        <w:rPr>
          <w:rFonts w:ascii="Calibri" w:cs="Calibri" w:eastAsia="Calibri" w:hAnsi="Calibri"/>
          <w:color w:val="222222"/>
          <w:sz w:val="21"/>
          <w:szCs w:val="21"/>
        </w:rPr>
        <w:t xml:space="preserve">Paper — the storefront's base background; keeps product photography and pricing legible and calm rather than busy.</w:t>
      </w:r>
    </w:p>
    <w:p>
      <w:pPr>
        <w:pStyle w:val="ListParagraph"/>
        <w:numPr>
          <w:ilvl w:val="0"/>
          <w:numId w:val="2"/>
        </w:numPr>
        <w:spacing w:after="60"/>
      </w:pPr>
      <w:r>
        <w:rPr>
          <w:rFonts w:ascii="Calibri" w:cs="Calibri" w:eastAsia="Calibri" w:hAnsi="Calibri"/>
          <w:color w:val="222222"/>
          <w:sz w:val="21"/>
          <w:szCs w:val="21"/>
        </w:rPr>
        <w:t xml:space="preserve">Accent Blue — primary buttons, links, active states, and the WhatsApp/checkout CTAs' supporting UI (not the WhatsApp brand green itself, which stays as-is for recognizability).</w:t>
      </w:r>
    </w:p>
    <w:p>
      <w:pPr>
        <w:pStyle w:val="ListParagraph"/>
        <w:numPr>
          <w:ilvl w:val="0"/>
          <w:numId w:val="2"/>
        </w:numPr>
        <w:spacing w:after="60"/>
      </w:pPr>
      <w:r>
        <w:rPr>
          <w:rFonts w:ascii="Calibri" w:cs="Calibri" w:eastAsia="Calibri" w:hAnsi="Calibri"/>
          <w:color w:val="222222"/>
          <w:sz w:val="21"/>
          <w:szCs w:val="21"/>
        </w:rPr>
        <w:t xml:space="preserve">Accent Gold — used only for price display, key CTA highlights, and small trust badges — deliberately rationed so it keeps drawing the eye where it matters.</w:t>
      </w:r>
    </w:p>
    <w:p>
      <w:pPr>
        <w:pStyle w:val="ListParagraph"/>
        <w:numPr>
          <w:ilvl w:val="0"/>
          <w:numId w:val="2"/>
        </w:numPr>
        <w:spacing w:after="60"/>
      </w:pPr>
      <w:r>
        <w:rPr>
          <w:rFonts w:ascii="Calibri" w:cs="Calibri" w:eastAsia="Calibri" w:hAnsi="Calibri"/>
          <w:color w:val="222222"/>
          <w:sz w:val="21"/>
          <w:szCs w:val="21"/>
        </w:rPr>
        <w:t xml:space="preserve">Trust Tint — background for trust-signal blocks (CAC badge strip, delivery guarantee, return policy) so they read as a distinct, reassuring zone without shouting.</w:t>
      </w:r>
    </w:p>
    <w:p>
      <w:pPr>
        <w:pStyle w:val="Heading2"/>
        <w:spacing w:after="120" w:before="300"/>
      </w:pPr>
      <w:r>
        <w:rPr>
          <w:rFonts w:ascii="Calibri" w:cs="Calibri" w:eastAsia="Calibri" w:hAnsi="Calibri"/>
          <w:b/>
          <w:bCs/>
          <w:color w:val="1049EB"/>
          <w:sz w:val="24"/>
          <w:szCs w:val="24"/>
        </w:rPr>
        <w:t xml:space="preserve">4.3 Typography &amp; imagery</w:t>
      </w:r>
    </w:p>
    <w:p>
      <w:pPr>
        <w:pStyle w:val="ListParagraph"/>
        <w:numPr>
          <w:ilvl w:val="0"/>
          <w:numId w:val="2"/>
        </w:numPr>
        <w:spacing w:after="60"/>
      </w:pPr>
      <w:r>
        <w:rPr>
          <w:rFonts w:ascii="Calibri" w:cs="Calibri" w:eastAsia="Calibri" w:hAnsi="Calibri"/>
          <w:color w:val="222222"/>
          <w:sz w:val="21"/>
          <w:szCs w:val="21"/>
        </w:rPr>
        <w:t xml:space="preserve">A clean geometric sans (e.g., Inter or similar) for both storefront and admin — one typeface, weight contrast only, keeps load times low and the brand consistent.</w:t>
      </w:r>
    </w:p>
    <w:p>
      <w:pPr>
        <w:pStyle w:val="ListParagraph"/>
        <w:numPr>
          <w:ilvl w:val="0"/>
          <w:numId w:val="2"/>
        </w:numPr>
        <w:spacing w:after="60"/>
      </w:pPr>
      <w:r>
        <w:rPr>
          <w:rFonts w:ascii="Calibri" w:cs="Calibri" w:eastAsia="Calibri" w:hAnsi="Calibri"/>
          <w:color w:val="222222"/>
          <w:sz w:val="21"/>
          <w:szCs w:val="21"/>
        </w:rPr>
        <w:t xml:space="preserve">Real product photography over stock imagery wherever possible; for categories like wine and appliances, consistent white/paper-background product shots build a catalog that reads as curated rather than dropshipped.</w:t>
      </w:r>
    </w:p>
    <w:p>
      <w:pPr>
        <w:pStyle w:val="ListParagraph"/>
        <w:numPr>
          <w:ilvl w:val="0"/>
          <w:numId w:val="2"/>
        </w:numPr>
        <w:spacing w:after="60"/>
      </w:pPr>
      <w:r>
        <w:rPr>
          <w:rFonts w:ascii="Calibri" w:cs="Calibri" w:eastAsia="Calibri" w:hAnsi="Calibri"/>
          <w:color w:val="222222"/>
          <w:sz w:val="21"/>
          <w:szCs w:val="21"/>
        </w:rPr>
        <w:t xml:space="preserve">No auto-rotating hero carousels on mobile — a single static hero plus a horizontally scrollable category strip performs better and loads faster.</w:t>
      </w:r>
    </w:p>
    <w:p>
      <w:r>
        <w:br w:type="page"/>
      </w:r>
    </w:p>
    <w:p>
      <w:pPr>
        <w:pStyle w:val="Heading1"/>
        <w:pBdr>
          <w:bottom w:val="single" w:color="FEB719" w:sz="12" w:space="4"/>
        </w:pBdr>
        <w:spacing w:after="200" w:before="400"/>
      </w:pPr>
      <w:r>
        <w:rPr>
          <w:rFonts w:ascii="Calibri" w:cs="Calibri" w:eastAsia="Calibri" w:hAnsi="Calibri"/>
          <w:b/>
          <w:bCs/>
          <w:color w:val="0A1A3D"/>
          <w:sz w:val="30"/>
          <w:szCs w:val="30"/>
        </w:rPr>
        <w:t xml:space="preserve">5. Storefront — Information Architecture</w:t>
      </w:r>
    </w:p>
    <w:p>
      <w:pPr>
        <w:spacing w:after="140"/>
      </w:pPr>
      <w:r>
        <w:rPr>
          <w:rFonts w:ascii="Calibri" w:cs="Calibri" w:eastAsia="Calibri" w:hAnsi="Calibri"/>
          <w:i w:val="false"/>
          <w:iCs w:val="false"/>
          <w:color w:val="222222"/>
          <w:sz w:val="21"/>
          <w:szCs w:val="21"/>
        </w:rPr>
        <w:t xml:space="preserve">Home → Category → Product Detail → Cart → Checkout → Order Confirmation, with Search and WhatsApp reachable from every screen, and About/Trust reachable from the header and footer.</w:t>
      </w:r>
    </w:p>
    <w:p>
      <w:pPr>
        <w:pStyle w:val="Heading1"/>
        <w:pBdr>
          <w:bottom w:val="single" w:color="FEB719" w:sz="12" w:space="4"/>
        </w:pBdr>
        <w:spacing w:after="200" w:before="400"/>
      </w:pPr>
      <w:r>
        <w:rPr>
          <w:rFonts w:ascii="Calibri" w:cs="Calibri" w:eastAsia="Calibri" w:hAnsi="Calibri"/>
          <w:b/>
          <w:bCs/>
          <w:color w:val="0A1A3D"/>
          <w:sz w:val="30"/>
          <w:szCs w:val="30"/>
        </w:rPr>
        <w:t xml:space="preserve">6. Storefront Screens</w:t>
      </w:r>
    </w:p>
    <w:p>
      <w:pPr>
        <w:spacing w:after="80" w:before="260"/>
      </w:pPr>
      <w:r>
        <w:rPr>
          <w:rFonts w:ascii="Calibri" w:cs="Calibri" w:eastAsia="Calibri" w:hAnsi="Calibri"/>
          <w:b/>
          <w:bCs/>
          <w:color w:val="1049EB"/>
          <w:sz w:val="22"/>
          <w:szCs w:val="22"/>
        </w:rPr>
        <w:t xml:space="preserve">S1  </w:t>
      </w:r>
      <w:r>
        <w:rPr>
          <w:rFonts w:ascii="Calibri" w:cs="Calibri" w:eastAsia="Calibri" w:hAnsi="Calibri"/>
          <w:b/>
          <w:bCs/>
          <w:color w:val="0A1A3D"/>
          <w:sz w:val="22"/>
          <w:szCs w:val="22"/>
        </w:rPr>
        <w:t xml:space="preserve">Home</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First impression and primary trust-building moment; routes shoppers into a category or straight to a specific product via search.</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Header with logo, search bar, WhatsApp icon; single static hero (not auto-rotating) with a rotating-but-static category strip; 'why buy from Noma' trust block (CAC badge, phone number, real face/story) placed above the fold on mobile, not just in the footer; featured/best-selling products by category; footer with policies, contact, and social links.</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Direct visit, social (Instagram/TikTok) link, WhatsApp broadcast link, search engine.</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Tap a category → Category screen. Tap a product → Product Detail. Tap WhatsApp icon → chat handoff.</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The trust block sits above the fold because Noma has zero brand recognition at launch — a first-time visitor needs to see the CAC badge and a real phone number before they decide whether to keep browsing, not after.</w:t>
            </w:r>
          </w:p>
        </w:tc>
      </w:tr>
    </w:tbl>
    <w:p>
      <w:pPr>
        <w:spacing w:after="80" w:before="260"/>
      </w:pPr>
      <w:r>
        <w:rPr>
          <w:rFonts w:ascii="Calibri" w:cs="Calibri" w:eastAsia="Calibri" w:hAnsi="Calibri"/>
          <w:b/>
          <w:bCs/>
          <w:color w:val="1049EB"/>
          <w:sz w:val="22"/>
          <w:szCs w:val="22"/>
        </w:rPr>
        <w:t xml:space="preserve">S2  </w:t>
      </w:r>
      <w:r>
        <w:rPr>
          <w:rFonts w:ascii="Calibri" w:cs="Calibri" w:eastAsia="Calibri" w:hAnsi="Calibri"/>
          <w:b/>
          <w:bCs/>
          <w:color w:val="0A1A3D"/>
          <w:sz w:val="22"/>
          <w:szCs w:val="22"/>
        </w:rPr>
        <w:t xml:space="preserve">Category Catalog</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Let shoppers browse one of the six categories (electronics, appliances, cooking materials, bicycles, wines, general goods) with filtering.</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Category header with a short category-specific trust line (e.g. delivery note for bulky items on Bicycles); filter/sort bar (price, popularity, in-stock); responsive product grid (2 columns mobile, up to 4 desktop) showing image, name, final price only, and a quick 'chat about this' icon.</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Home category tile, header nav, search results, direct category link from social post.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Tap a product card → Product Detail. Tap filter → refines grid in place (no full reload).</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Bulky/expensive categories (bicycles, large appliances) show a one-line delivery-cost note directly on the grid card, since research shows price-sensitive shoppers hesitate over hidden delivery costs on big-ticket items; small-wares categories skip this note to keep browsing fast and light, matching the PRD's category-based markup logic (Section 5.3).</w:t>
            </w:r>
          </w:p>
        </w:tc>
      </w:tr>
    </w:tbl>
    <w:p>
      <w:pPr>
        <w:spacing w:after="80" w:before="260"/>
      </w:pPr>
      <w:r>
        <w:rPr>
          <w:rFonts w:ascii="Calibri" w:cs="Calibri" w:eastAsia="Calibri" w:hAnsi="Calibri"/>
          <w:b/>
          <w:bCs/>
          <w:color w:val="1049EB"/>
          <w:sz w:val="22"/>
          <w:szCs w:val="22"/>
        </w:rPr>
        <w:t xml:space="preserve">S3  </w:t>
      </w:r>
      <w:r>
        <w:rPr>
          <w:rFonts w:ascii="Calibri" w:cs="Calibri" w:eastAsia="Calibri" w:hAnsi="Calibri"/>
          <w:b/>
          <w:bCs/>
          <w:color w:val="0A1A3D"/>
          <w:sz w:val="22"/>
          <w:szCs w:val="22"/>
        </w:rPr>
        <w:t xml:space="preserve">Product Detail Page (PDP)</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Convert interest into an add-to-cart or a WhatsApp chat; the single most important screen for both revenue and price-integrity.</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Image gallery (pinch-zoom on mobile); product name and category; single final price only, in Accent Gold, large and unambiguous (FR-2); stock status; delivery-fee estimate note ('calculated at checkout by your location'); Add to Cart (primary, Accent Blue) and Chat on WhatsApp (secondary, always visible, sticky on scroll for mobile) side by side; description; trust strip (CAC badge, return policy) directly beneath the price, not lower on the page.</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Category grid, search result, direct shared link, social post link.</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Add to Cart → stays on page with a cart confirmation toast, or → Cart. Chat on WhatsApp → opens chat pre-filled with the product name/link.</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Base price and markup are structurally absent from every layer of this screen and its underlying API response (FR-2, NFR-Security) — there is no toggle, no admin-preview mode reachable from here, and no 'price breakdown' element at all, because Section 16's stated top risk is accidental exposure of the cost/markup split.</w:t>
            </w:r>
          </w:p>
        </w:tc>
      </w:tr>
    </w:tbl>
    <w:p>
      <w:pPr>
        <w:spacing w:after="80" w:before="260"/>
      </w:pPr>
      <w:r>
        <w:rPr>
          <w:rFonts w:ascii="Calibri" w:cs="Calibri" w:eastAsia="Calibri" w:hAnsi="Calibri"/>
          <w:b/>
          <w:bCs/>
          <w:color w:val="1049EB"/>
          <w:sz w:val="22"/>
          <w:szCs w:val="22"/>
        </w:rPr>
        <w:t xml:space="preserve">S4  </w:t>
      </w:r>
      <w:r>
        <w:rPr>
          <w:rFonts w:ascii="Calibri" w:cs="Calibri" w:eastAsia="Calibri" w:hAnsi="Calibri"/>
          <w:b/>
          <w:bCs/>
          <w:color w:val="0A1A3D"/>
          <w:sz w:val="22"/>
          <w:szCs w:val="22"/>
        </w:rPr>
        <w:t xml:space="preserve">Cart</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Let the shopper review items, adjust quantity, and see a running subtotal before committing to checkout.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Line items with thumbnail, name, quantity stepper, final price; subtotal (delivery fee shown as 'calculated next' rather than $0, to avoid a false-low total); Proceed to Checkout (primary); Continue on WhatsApp instead (secondary) for shoppers who'd rather finish the sale in chat.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Add to Cart from any PDP, cart icon in header.</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Proceed to Checkout → Checkout. Continue on WhatsApp → chat handoff with cart contents summarized.</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The WhatsApp exit is preserved even at the cart stage — the PRD frames WhatsApp handoff as a first-class conversion path (FR-6), not a fallback only offered before someone has expressed cart-level intent.</w:t>
            </w:r>
          </w:p>
        </w:tc>
      </w:tr>
    </w:tbl>
    <w:p>
      <w:pPr>
        <w:spacing w:after="80" w:before="260"/>
      </w:pPr>
      <w:r>
        <w:rPr>
          <w:rFonts w:ascii="Calibri" w:cs="Calibri" w:eastAsia="Calibri" w:hAnsi="Calibri"/>
          <w:b/>
          <w:bCs/>
          <w:color w:val="1049EB"/>
          <w:sz w:val="22"/>
          <w:szCs w:val="22"/>
        </w:rPr>
        <w:t xml:space="preserve">S5  </w:t>
      </w:r>
      <w:r>
        <w:rPr>
          <w:rFonts w:ascii="Calibri" w:cs="Calibri" w:eastAsia="Calibri" w:hAnsi="Calibri"/>
          <w:b/>
          <w:bCs/>
          <w:color w:val="0A1A3D"/>
          <w:sz w:val="22"/>
          <w:szCs w:val="22"/>
        </w:rPr>
        <w:t xml:space="preserve">Checkout</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Capture delivery details, calculate the delivery fee, and take payment — the highest-friction, highest-abandonment screen, and the one place security cues matter most.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Guest checkout by default (no forced account creation); delivery address entry feeding the GIG Logistics fee calculation (FR-3); a single running total that only ever shows item price + delivery fee (never a cost/markup split, per FR-2); payment step showing Paystack/Flutterwave logos and a short security line directly beside the pay button once payments are live (Phase 3); order summary always visible/collapsible so the shopper never loses sight of what they're paying for.</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Cart 'Proceed to Checkout'.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Successful payment → Order Confirmation. Payment failure → inline retry without losing entered details.</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Checkout totals are computed server-side as base + markup + delivery fee with zero manual override at the point of sale (Section 7.3) — the UI simply renders that final number, so there is no code path in this screen that could leak or allow editing of the underlying split.</w:t>
            </w:r>
          </w:p>
        </w:tc>
      </w:tr>
    </w:tbl>
    <w:p>
      <w:pPr>
        <w:spacing w:after="80" w:before="260"/>
      </w:pPr>
      <w:r>
        <w:rPr>
          <w:rFonts w:ascii="Calibri" w:cs="Calibri" w:eastAsia="Calibri" w:hAnsi="Calibri"/>
          <w:b/>
          <w:bCs/>
          <w:color w:val="1049EB"/>
          <w:sz w:val="22"/>
          <w:szCs w:val="22"/>
        </w:rPr>
        <w:t xml:space="preserve">S6  </w:t>
      </w:r>
      <w:r>
        <w:rPr>
          <w:rFonts w:ascii="Calibri" w:cs="Calibri" w:eastAsia="Calibri" w:hAnsi="Calibri"/>
          <w:b/>
          <w:bCs/>
          <w:color w:val="0A1A3D"/>
          <w:sz w:val="22"/>
          <w:szCs w:val="22"/>
        </w:rPr>
        <w:t xml:space="preserve">Order Confirmation &amp; Status</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Reassure the shopper immediately after payment and let them track delivery without contacting support.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Order number, itemized summary, delivery estimate; status tracker mirroring the courier pipeline (placed → dispatched → delivered, FR-11); a WhatsApp 'questions about your order?' CTA.</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Successful checkout payment.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Return to Home/Category to continue shopping, or tap WhatsApp for support.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The status tracker uses the exact four-stage language from the PRD's order/delivery requirement so the storefront and the operator's admin order view always describe the same order the same way.</w:t>
            </w:r>
          </w:p>
        </w:tc>
      </w:tr>
    </w:tbl>
    <w:p>
      <w:pPr>
        <w:spacing w:after="80" w:before="260"/>
      </w:pPr>
      <w:r>
        <w:rPr>
          <w:rFonts w:ascii="Calibri" w:cs="Calibri" w:eastAsia="Calibri" w:hAnsi="Calibri"/>
          <w:b/>
          <w:bCs/>
          <w:color w:val="1049EB"/>
          <w:sz w:val="22"/>
          <w:szCs w:val="22"/>
        </w:rPr>
        <w:t xml:space="preserve">S7  </w:t>
      </w:r>
      <w:r>
        <w:rPr>
          <w:rFonts w:ascii="Calibri" w:cs="Calibri" w:eastAsia="Calibri" w:hAnsi="Calibri"/>
          <w:b/>
          <w:bCs/>
          <w:color w:val="0A1A3D"/>
          <w:sz w:val="22"/>
          <w:szCs w:val="22"/>
        </w:rPr>
        <w:t xml:space="preserve">Search &amp; Filter</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Fast path to a specific product for returning or intent-driven shoppers, given the catalog is designed to scale well beyond the initial range (NFR-Scalability).</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Persistent search bar in header; predictive suggestions; results grid identical in style to the Category screen for consistency.</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Header search icon/bar on any storefront screen.</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Tap a result → Product Detail.</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Kept visually identical to the category grid so the catalog can grow (new categories, hundreds more SKUs) without the search experience needing a redesign.</w:t>
            </w:r>
          </w:p>
        </w:tc>
      </w:tr>
    </w:tbl>
    <w:p>
      <w:r>
        <w:br w:type="page"/>
      </w:r>
    </w:p>
    <w:p>
      <w:pPr>
        <w:pStyle w:val="Heading1"/>
        <w:pBdr>
          <w:bottom w:val="single" w:color="FEB719" w:sz="12" w:space="4"/>
        </w:pBdr>
        <w:spacing w:after="200" w:before="400"/>
      </w:pPr>
      <w:r>
        <w:rPr>
          <w:rFonts w:ascii="Calibri" w:cs="Calibri" w:eastAsia="Calibri" w:hAnsi="Calibri"/>
          <w:b/>
          <w:bCs/>
          <w:color w:val="0A1A3D"/>
          <w:sz w:val="30"/>
          <w:szCs w:val="30"/>
        </w:rPr>
        <w:t xml:space="preserve">7. Admin Portal — Information Architecture</w:t>
      </w:r>
    </w:p>
    <w:p>
      <w:pPr>
        <w:spacing w:after="140"/>
      </w:pPr>
      <w:r>
        <w:rPr>
          <w:rFonts w:ascii="Calibri" w:cs="Calibri" w:eastAsia="Calibri" w:hAnsi="Calibri"/>
          <w:i w:val="false"/>
          <w:iCs w:val="false"/>
          <w:color w:val="222222"/>
          <w:sz w:val="21"/>
          <w:szCs w:val="21"/>
        </w:rPr>
        <w:t xml:space="preserve">A single-operator control panel, reachable only after authentication (FR-13). One home Dashboard surfaces the monthly income picture; five task screens sit one tap away: Inventory, Pricing, Orders, Ledger &amp; Salary, and Settings.</w:t>
      </w:r>
    </w:p>
    <w:p>
      <w:pPr>
        <w:pStyle w:val="Heading1"/>
        <w:pBdr>
          <w:bottom w:val="single" w:color="FEB719" w:sz="12" w:space="4"/>
        </w:pBdr>
        <w:spacing w:after="200" w:before="400"/>
      </w:pPr>
      <w:r>
        <w:rPr>
          <w:rFonts w:ascii="Calibri" w:cs="Calibri" w:eastAsia="Calibri" w:hAnsi="Calibri"/>
          <w:b/>
          <w:bCs/>
          <w:color w:val="0A1A3D"/>
          <w:sz w:val="30"/>
          <w:szCs w:val="30"/>
        </w:rPr>
        <w:t xml:space="preserve">8. Admin Portal Screens</w:t>
      </w:r>
    </w:p>
    <w:p>
      <w:pPr>
        <w:spacing w:after="80" w:before="260"/>
      </w:pPr>
      <w:r>
        <w:rPr>
          <w:rFonts w:ascii="Calibri" w:cs="Calibri" w:eastAsia="Calibri" w:hAnsi="Calibri"/>
          <w:b/>
          <w:bCs/>
          <w:color w:val="1049EB"/>
          <w:sz w:val="22"/>
          <w:szCs w:val="22"/>
        </w:rPr>
        <w:t xml:space="preserve">A1  </w:t>
      </w:r>
      <w:r>
        <w:rPr>
          <w:rFonts w:ascii="Calibri" w:cs="Calibri" w:eastAsia="Calibri" w:hAnsi="Calibri"/>
          <w:b/>
          <w:bCs/>
          <w:color w:val="0A1A3D"/>
          <w:sz w:val="22"/>
          <w:szCs w:val="22"/>
        </w:rPr>
        <w:t xml:space="preserve">Login</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Gate the entire admin portal behind operator-only authentication, since it is the only place base price and markup are ever visible (FR-13, NFR-Security).</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Email/password (or phone) sign-in via Firebase Auth; no public sign-up path exists anywhere in this surface.</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Direct admin URL, bookmarked link — never linked from the public storefront.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Successful login → Dashboard.</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There is intentionally no 'forgot password → self-service account creation' loop that could be mistaken for a public entry point; recovery is a deliberately manual, operator-only path.</w:t>
            </w:r>
          </w:p>
        </w:tc>
      </w:tr>
    </w:tbl>
    <w:p>
      <w:pPr>
        <w:spacing w:after="80" w:before="260"/>
      </w:pPr>
      <w:r>
        <w:rPr>
          <w:rFonts w:ascii="Calibri" w:cs="Calibri" w:eastAsia="Calibri" w:hAnsi="Calibri"/>
          <w:b/>
          <w:bCs/>
          <w:color w:val="1049EB"/>
          <w:sz w:val="22"/>
          <w:szCs w:val="22"/>
        </w:rPr>
        <w:t xml:space="preserve">A2  </w:t>
      </w:r>
      <w:r>
        <w:rPr>
          <w:rFonts w:ascii="Calibri" w:cs="Calibri" w:eastAsia="Calibri" w:hAnsi="Calibri"/>
          <w:b/>
          <w:bCs/>
          <w:color w:val="0A1A3D"/>
          <w:sz w:val="22"/>
          <w:szCs w:val="22"/>
        </w:rPr>
        <w:t xml:space="preserve">Dashboard / Monthly Summary</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Answer, at a glance, 'what happened this month and what do I need to do today' — the operator's single most-visited screen (FR-12).</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This month's totals: total sales, total owed to supplier, total markup earned, fixed ₦80,000 salary, and combined net income, each as its own clearly labeled card; a short 'needs attention' list (low stock, orders awaiting dispatch); quick links into the five task screens.</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Post-login landing screen; also reachable from a persistent 'Home' icon on every admin screen.</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Tap any summary card or quick link → the corresponding task screen.</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Salary and markup are shown as two visually separate cards, never merged into one figure, mirroring the PRD's explicit rule that the two income streams must never be conflated (Section 5) — the layout itself enforces that separation.</w:t>
            </w:r>
          </w:p>
        </w:tc>
      </w:tr>
    </w:tbl>
    <w:p>
      <w:pPr>
        <w:spacing w:after="80" w:before="260"/>
      </w:pPr>
      <w:r>
        <w:rPr>
          <w:rFonts w:ascii="Calibri" w:cs="Calibri" w:eastAsia="Calibri" w:hAnsi="Calibri"/>
          <w:b/>
          <w:bCs/>
          <w:color w:val="1049EB"/>
          <w:sz w:val="22"/>
          <w:szCs w:val="22"/>
        </w:rPr>
        <w:t xml:space="preserve">A3  </w:t>
      </w:r>
      <w:r>
        <w:rPr>
          <w:rFonts w:ascii="Calibri" w:cs="Calibri" w:eastAsia="Calibri" w:hAnsi="Calibri"/>
          <w:b/>
          <w:bCs/>
          <w:color w:val="0A1A3D"/>
          <w:sz w:val="22"/>
          <w:szCs w:val="22"/>
        </w:rPr>
        <w:t xml:space="preserve">Inventory Management</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Add, edit, and stock-manage products across all six categories (FR-7).</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Product list/table with image, name, category, stock qty, status; Add Product form (images, category, base price, stock); inline low-stock indicator.</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Dashboard quick link, admin nav.</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Save → returns to updated list. Tap a product → Pricing screen for that item (see A4) or back to list.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Base price is entered here as a plain operator-facing field with no customer-facing equivalent anywhere in the same form — this is the one screen in the entire product where base price is meant to be visible, and it is walled off from the storefront by authentication alone at the route level, never by hiding it in the UI (Section 16's stated risk).</w:t>
            </w:r>
          </w:p>
        </w:tc>
      </w:tr>
    </w:tbl>
    <w:p>
      <w:pPr>
        <w:spacing w:after="80" w:before="260"/>
      </w:pPr>
      <w:r>
        <w:rPr>
          <w:rFonts w:ascii="Calibri" w:cs="Calibri" w:eastAsia="Calibri" w:hAnsi="Calibri"/>
          <w:b/>
          <w:bCs/>
          <w:color w:val="1049EB"/>
          <w:sz w:val="22"/>
          <w:szCs w:val="22"/>
        </w:rPr>
        <w:t xml:space="preserve">A4  </w:t>
      </w:r>
      <w:r>
        <w:rPr>
          <w:rFonts w:ascii="Calibri" w:cs="Calibri" w:eastAsia="Calibri" w:hAnsi="Calibri"/>
          <w:b/>
          <w:bCs/>
          <w:color w:val="0A1A3D"/>
          <w:sz w:val="22"/>
          <w:szCs w:val="22"/>
        </w:rPr>
        <w:t xml:space="preserve">Pricing &amp; Markup Control</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Turn base price plus category or per-item markup into the final customer-facing price automatically, with override (FR-8, Section 5.3).</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Category list with an editable default markup % per category (matching the PRD's suggested ranges); per-product override toggle showing base price, markup %, and the computed final price live as the operator types; a plain-language example calculation shown inline (mirroring the PRD's worked example) so the math is never ambiguous.</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Dashboard, Inventory product row.</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Save → final price recalculates storefront-side automatically; no separate publish step.</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Category defaults are shown first, override second, matching the PRD's stated logic that category-level markup should be the fast path and per-item override the exception, not the other way around.</w:t>
            </w:r>
          </w:p>
        </w:tc>
      </w:tr>
    </w:tbl>
    <w:p>
      <w:pPr>
        <w:spacing w:after="80" w:before="260"/>
      </w:pPr>
      <w:r>
        <w:rPr>
          <w:rFonts w:ascii="Calibri" w:cs="Calibri" w:eastAsia="Calibri" w:hAnsi="Calibri"/>
          <w:b/>
          <w:bCs/>
          <w:color w:val="1049EB"/>
          <w:sz w:val="22"/>
          <w:szCs w:val="22"/>
        </w:rPr>
        <w:t xml:space="preserve">A5  </w:t>
      </w:r>
      <w:r>
        <w:rPr>
          <w:rFonts w:ascii="Calibri" w:cs="Calibri" w:eastAsia="Calibri" w:hAnsi="Calibri"/>
          <w:b/>
          <w:bCs/>
          <w:color w:val="0A1A3D"/>
          <w:sz w:val="22"/>
          <w:szCs w:val="22"/>
        </w:rPr>
        <w:t xml:space="preserve">Orders &amp; Delivery Tracking</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Manage the order pipeline end to end and stay in sync with the courier (FR-11).</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Order list filterable by status (placed / dispatched / delivered); order detail showing items, delivery address, computed delivery fee, and payment reference; manual status override for edge cases (e.g. courier delay) alongside the automated GIG Logistics status feed.</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Dashboard 'needs attention' list, admin nav.</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Update status → reflected on the customer's Order Confirmation/status screen in real time.</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The operator sees the same four-stage status language the customer sees, so there is never a mismatch between what the admin portal says internally and what a customer is told.</w:t>
            </w:r>
          </w:p>
        </w:tc>
      </w:tr>
    </w:tbl>
    <w:p>
      <w:pPr>
        <w:spacing w:after="80" w:before="260"/>
      </w:pPr>
      <w:r>
        <w:rPr>
          <w:rFonts w:ascii="Calibri" w:cs="Calibri" w:eastAsia="Calibri" w:hAnsi="Calibri"/>
          <w:b/>
          <w:bCs/>
          <w:color w:val="1049EB"/>
          <w:sz w:val="22"/>
          <w:szCs w:val="22"/>
        </w:rPr>
        <w:t xml:space="preserve">A6  </w:t>
      </w:r>
      <w:r>
        <w:rPr>
          <w:rFonts w:ascii="Calibri" w:cs="Calibri" w:eastAsia="Calibri" w:hAnsi="Calibri"/>
          <w:b/>
          <w:bCs/>
          <w:color w:val="0A1A3D"/>
          <w:sz w:val="22"/>
          <w:szCs w:val="22"/>
        </w:rPr>
        <w:t xml:space="preserve">Supplier Ledger &amp; Salary Log</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Maintain the accurate, always-current picture of what is owed to the supplier versus what the operator has earned (Business Goal, Section 3.1; FR-9, FR-10).</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Running supplier ledger: every order's base amount owed, dated and linked to the order; separate salary log: one ₦80,000 entry per month with paid/unpaid status, entered independently of sales volume.</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Dashboard quick link.</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Entries roll up automatically into the Dashboard's Monthly Summary; no manual reconciliation step.</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Kept as two visually distinct lists on the same screen rather than one merged transaction feed, so the off-platform supplier reconciliation (Section 4.3, Section 6.2) can be read straight off the ledger without the operator having to separate salary from sales by hand.</w:t>
            </w:r>
          </w:p>
        </w:tc>
      </w:tr>
    </w:tbl>
    <w:p>
      <w:pPr>
        <w:spacing w:after="80" w:before="260"/>
      </w:pPr>
      <w:r>
        <w:rPr>
          <w:rFonts w:ascii="Calibri" w:cs="Calibri" w:eastAsia="Calibri" w:hAnsi="Calibri"/>
          <w:b/>
          <w:bCs/>
          <w:color w:val="1049EB"/>
          <w:sz w:val="22"/>
          <w:szCs w:val="22"/>
        </w:rPr>
        <w:t xml:space="preserve">A7  </w:t>
      </w:r>
      <w:r>
        <w:rPr>
          <w:rFonts w:ascii="Calibri" w:cs="Calibri" w:eastAsia="Calibri" w:hAnsi="Calibri"/>
          <w:b/>
          <w:bCs/>
          <w:color w:val="0A1A3D"/>
          <w:sz w:val="22"/>
          <w:szCs w:val="22"/>
        </w:rPr>
        <w:t xml:space="preserve">Settings &amp; Access</w:t>
      </w:r>
    </w:p>
    <w:tbl>
      <w:tblPr>
        <w:tblW w:type="dxa" w:w="9540"/>
        <w:tblBorders>
          <w:top w:val="single" w:color="CCCCCC" w:sz="4"/>
          <w:left w:val="single" w:color="CCCCCC" w:sz="4"/>
          <w:bottom w:val="single" w:color="CCCCCC" w:sz="4"/>
          <w:right w:val="single" w:color="CCCCCC" w:sz="4"/>
          <w:insideH w:val="single" w:color="E2E2E2" w:sz="4"/>
          <w:insideV w:val="single" w:color="E2E2E2" w:sz="4"/>
        </w:tblBorders>
      </w:tblPr>
      <w:tblGrid>
        <w:gridCol w:w="1900"/>
        <w:gridCol w:w="7640"/>
      </w:tblGrid>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Purpose</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House the low-frequency configuration that doesn't belong on the daily Dashboard (FR-13).</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Key elements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Operator profile/password; courier and payment integration status (GIG Logistics, Paystack/Flutterwave — showing 'ready, pending CAC registration' until Phase 3 unlocks them); category list management.</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Entry points</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Admin nav, gear icon.</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Exit / next step</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Save → returns to Dashboard.</w:t>
            </w:r>
          </w:p>
        </w:tc>
      </w:tr>
      <w:tr>
        <w:tc>
          <w:tcPr>
            <w:tcW w:type="dxa" w:w="1900"/>
            <w:shd w:fill="EAF1FF" w:color="auto" w:val="clear"/>
            <w:tcMar>
              <w:top w:type="dxa" w:w="100"/>
              <w:left w:type="dxa" w:w="140"/>
              <w:bottom w:type="dxa" w:w="100"/>
              <w:right w:type="dxa" w:w="100"/>
            </w:tcMar>
          </w:tcPr>
          <w:p>
            <w:r>
              <w:rPr>
                <w:rFonts w:ascii="Calibri" w:cs="Calibri" w:eastAsia="Calibri" w:hAnsi="Calibri"/>
                <w:b/>
                <w:bCs/>
                <w:color w:val="0A1A3D"/>
                <w:sz w:val="20"/>
                <w:szCs w:val="20"/>
              </w:rPr>
              <w:t xml:space="preserve">Noma-specific design decision</w:t>
            </w:r>
          </w:p>
        </w:tc>
        <w:tc>
          <w:tcPr>
            <w:tcW w:type="dxa" w:w="7640"/>
            <w:tcMar>
              <w:top w:type="dxa" w:w="100"/>
              <w:left w:type="dxa" w:w="140"/>
              <w:bottom w:type="dxa" w:w="100"/>
              <w:right w:type="dxa" w:w="100"/>
            </w:tcMar>
          </w:tcPr>
          <w:p>
            <w:r>
              <w:rPr>
                <w:rFonts w:ascii="Calibri" w:cs="Calibri" w:eastAsia="Calibri" w:hAnsi="Calibri"/>
                <w:color w:val="222222"/>
                <w:sz w:val="20"/>
                <w:szCs w:val="20"/>
              </w:rPr>
              <w:t xml:space="preserve">Payment integrations are visibly present but clearly marked inactive pending CAC registration, so the operator can see the platform is 'built and ready' (Section 7.3) rather than wondering if a feature is missing.</w:t>
            </w:r>
          </w:p>
        </w:tc>
      </w:tr>
    </w:tbl>
    <w:p>
      <w:r>
        <w:br w:type="page"/>
      </w:r>
    </w:p>
    <w:p>
      <w:pPr>
        <w:pStyle w:val="Heading1"/>
        <w:pBdr>
          <w:bottom w:val="single" w:color="FEB719" w:sz="12" w:space="4"/>
        </w:pBdr>
        <w:spacing w:after="200" w:before="400"/>
      </w:pPr>
      <w:r>
        <w:rPr>
          <w:rFonts w:ascii="Calibri" w:cs="Calibri" w:eastAsia="Calibri" w:hAnsi="Calibri"/>
          <w:b/>
          <w:bCs/>
          <w:color w:val="0A1A3D"/>
          <w:sz w:val="30"/>
          <w:szCs w:val="30"/>
        </w:rPr>
        <w:t xml:space="preserve">9. End-to-End Flows</w:t>
      </w:r>
    </w:p>
    <w:p>
      <w:pPr>
        <w:pStyle w:val="Heading2"/>
        <w:spacing w:after="120" w:before="300"/>
      </w:pPr>
      <w:r>
        <w:rPr>
          <w:rFonts w:ascii="Calibri" w:cs="Calibri" w:eastAsia="Calibri" w:hAnsi="Calibri"/>
          <w:b/>
          <w:bCs/>
          <w:color w:val="1049EB"/>
          <w:sz w:val="24"/>
          <w:szCs w:val="24"/>
        </w:rPr>
        <w:t xml:space="preserve">9.1 Customer purchase flow</w:t>
      </w:r>
    </w:p>
    <w:p>
      <w:pPr>
        <w:spacing w:after="140"/>
      </w:pPr>
      <w:r>
        <w:rPr>
          <w:rFonts w:ascii="Calibri" w:cs="Calibri" w:eastAsia="Calibri" w:hAnsi="Calibri"/>
          <w:i w:val="false"/>
          <w:iCs w:val="false"/>
          <w:color w:val="222222"/>
          <w:sz w:val="21"/>
          <w:szCs w:val="21"/>
        </w:rPr>
        <w:t xml:space="preserve">Home → Category (or Search) → Product Detail → Add to Cart → Cart → Checkout (address → delivery fee auto-calculated → payment) → Order Confirmation with live status. At any point from Product Detail onward, the shopper can exit to WhatsApp instead and complete the sale in chat, with the operator finishing that order manually through Orders &amp; Delivery Tracking (A5).</w:t>
      </w:r>
    </w:p>
    <w:p>
      <w:pPr>
        <w:pStyle w:val="Heading2"/>
        <w:spacing w:after="120" w:before="300"/>
      </w:pPr>
      <w:r>
        <w:rPr>
          <w:rFonts w:ascii="Calibri" w:cs="Calibri" w:eastAsia="Calibri" w:hAnsi="Calibri"/>
          <w:b/>
          <w:bCs/>
          <w:color w:val="1049EB"/>
          <w:sz w:val="24"/>
          <w:szCs w:val="24"/>
        </w:rPr>
        <w:t xml:space="preserve">9.2 Operator pricing-to-payout flow</w:t>
      </w:r>
    </w:p>
    <w:p>
      <w:pPr>
        <w:spacing w:after="140"/>
      </w:pPr>
      <w:r>
        <w:rPr>
          <w:rFonts w:ascii="Calibri" w:cs="Calibri" w:eastAsia="Calibri" w:hAnsi="Calibri"/>
          <w:i w:val="false"/>
          <w:iCs w:val="false"/>
          <w:color w:val="222222"/>
          <w:sz w:val="21"/>
          <w:szCs w:val="21"/>
        </w:rPr>
        <w:t xml:space="preserve">Inventory (add product, set base price) → Pricing &amp; Markup Control (apply category default or override) → product goes live on the storefront automatically → sale occurs → Supplier Ledger &amp; Salary Log records the base amount owed and the markup kept, per order → Dashboard Monthly Summary rolls everything up into total sales, total owed to supplier, total markup earned, and salary, giving the operator one accurate number for her real monthly income.</w:t>
      </w:r>
    </w:p>
    <w:p>
      <w:pPr>
        <w:pStyle w:val="Heading1"/>
        <w:pBdr>
          <w:bottom w:val="single" w:color="FEB719" w:sz="12" w:space="4"/>
        </w:pBdr>
        <w:spacing w:after="200" w:before="400"/>
      </w:pPr>
      <w:r>
        <w:rPr>
          <w:rFonts w:ascii="Calibri" w:cs="Calibri" w:eastAsia="Calibri" w:hAnsi="Calibri"/>
          <w:b/>
          <w:bCs/>
          <w:color w:val="0A1A3D"/>
          <w:sz w:val="30"/>
          <w:szCs w:val="30"/>
        </w:rPr>
        <w:t xml:space="preserve">10. Sources Consulted</w:t>
      </w:r>
    </w:p>
    <w:p>
      <w:pPr>
        <w:spacing w:after="140"/>
      </w:pPr>
      <w:r>
        <w:rPr>
          <w:rFonts w:ascii="Calibri" w:cs="Calibri" w:eastAsia="Calibri" w:hAnsi="Calibri"/>
          <w:i w:val="false"/>
          <w:iCs w:val="false"/>
          <w:color w:val="222222"/>
          <w:sz w:val="21"/>
          <w:szCs w:val="21"/>
        </w:rPr>
        <w:t xml:space="preserve">Design direction and screen-level decisions were informed by 2026 e-commerce UX and conversion research, cross-referenced with the Noma PRD's explicit requirements:</w:t>
      </w:r>
    </w:p>
    <w:p>
      <w:pPr>
        <w:pStyle w:val="ListParagraph"/>
        <w:numPr>
          <w:ilvl w:val="0"/>
          <w:numId w:val="2"/>
        </w:numPr>
        <w:spacing w:after="60"/>
      </w:pPr>
      <w:r>
        <w:rPr>
          <w:rFonts w:ascii="Calibri" w:cs="Calibri" w:eastAsia="Calibri" w:hAnsi="Calibri"/>
          <w:color w:val="222222"/>
          <w:sz w:val="21"/>
          <w:szCs w:val="21"/>
        </w:rPr>
        <w:t xml:space="preserve">Ecommerce UX Best Practices 2026 — GemPages</w:t>
      </w:r>
    </w:p>
    <w:p>
      <w:pPr>
        <w:pStyle w:val="ListParagraph"/>
        <w:numPr>
          <w:ilvl w:val="0"/>
          <w:numId w:val="2"/>
        </w:numPr>
        <w:spacing w:after="60"/>
      </w:pPr>
      <w:r>
        <w:rPr>
          <w:rFonts w:ascii="Calibri" w:cs="Calibri" w:eastAsia="Calibri" w:hAnsi="Calibri"/>
          <w:color w:val="222222"/>
          <w:sz w:val="21"/>
          <w:szCs w:val="21"/>
        </w:rPr>
        <w:t xml:space="preserve">eCommerce Web Design Best Practices in 2026 — Shift8 Web</w:t>
      </w:r>
    </w:p>
    <w:p>
      <w:pPr>
        <w:pStyle w:val="ListParagraph"/>
        <w:numPr>
          <w:ilvl w:val="0"/>
          <w:numId w:val="2"/>
        </w:numPr>
        <w:spacing w:after="60"/>
      </w:pPr>
      <w:r>
        <w:rPr>
          <w:rFonts w:ascii="Calibri" w:cs="Calibri" w:eastAsia="Calibri" w:hAnsi="Calibri"/>
          <w:color w:val="222222"/>
          <w:sz w:val="21"/>
          <w:szCs w:val="21"/>
        </w:rPr>
        <w:t xml:space="preserve">Mobile UX Trends 2026 — Baymard Institute</w:t>
      </w:r>
    </w:p>
    <w:p>
      <w:pPr>
        <w:pStyle w:val="ListParagraph"/>
        <w:numPr>
          <w:ilvl w:val="0"/>
          <w:numId w:val="2"/>
        </w:numPr>
        <w:spacing w:after="60"/>
      </w:pPr>
      <w:r>
        <w:rPr>
          <w:rFonts w:ascii="Calibri" w:cs="Calibri" w:eastAsia="Calibri" w:hAnsi="Calibri"/>
          <w:color w:val="222222"/>
          <w:sz w:val="21"/>
          <w:szCs w:val="21"/>
        </w:rPr>
        <w:t xml:space="preserve">Best Practices for E-Commerce UI &amp; UX Design (2026 Guide)</w:t>
      </w:r>
    </w:p>
    <w:p>
      <w:pPr>
        <w:pStyle w:val="ListParagraph"/>
        <w:numPr>
          <w:ilvl w:val="0"/>
          <w:numId w:val="2"/>
        </w:numPr>
        <w:spacing w:after="60"/>
      </w:pPr>
      <w:r>
        <w:rPr>
          <w:rFonts w:ascii="Calibri" w:cs="Calibri" w:eastAsia="Calibri" w:hAnsi="Calibri"/>
          <w:color w:val="222222"/>
          <w:sz w:val="21"/>
          <w:szCs w:val="21"/>
        </w:rPr>
        <w:t xml:space="preserve">Ecommerce UX Best Practices: A Practitioner's Guide for 2026 — DBB Software</w:t>
      </w:r>
    </w:p>
    <w:p>
      <w:pPr>
        <w:pStyle w:val="ListParagraph"/>
        <w:numPr>
          <w:ilvl w:val="0"/>
          <w:numId w:val="2"/>
        </w:numPr>
        <w:spacing w:after="60"/>
      </w:pPr>
      <w:r>
        <w:rPr>
          <w:rFonts w:ascii="Calibri" w:cs="Calibri" w:eastAsia="Calibri" w:hAnsi="Calibri"/>
          <w:color w:val="222222"/>
          <w:sz w:val="21"/>
          <w:szCs w:val="21"/>
        </w:rPr>
        <w:t xml:space="preserve">Trust Signals That Work in 2026 — Ecom Design Pro</w:t>
      </w:r>
    </w:p>
    <w:p>
      <w:pPr>
        <w:pStyle w:val="ListParagraph"/>
        <w:numPr>
          <w:ilvl w:val="0"/>
          <w:numId w:val="2"/>
        </w:numPr>
        <w:spacing w:after="60"/>
      </w:pPr>
      <w:r>
        <w:rPr>
          <w:rFonts w:ascii="Calibri" w:cs="Calibri" w:eastAsia="Calibri" w:hAnsi="Calibri"/>
          <w:color w:val="222222"/>
          <w:sz w:val="21"/>
          <w:szCs w:val="21"/>
        </w:rPr>
        <w:t xml:space="preserve">8 E-Commerce Trust Signals (And Where to Place Each) — GoPrecision</w:t>
      </w:r>
    </w:p>
    <w:p>
      <w:pPr>
        <w:pStyle w:val="ListParagraph"/>
        <w:numPr>
          <w:ilvl w:val="0"/>
          <w:numId w:val="2"/>
        </w:numPr>
        <w:spacing w:after="60"/>
      </w:pPr>
      <w:r>
        <w:rPr>
          <w:rFonts w:ascii="Calibri" w:cs="Calibri" w:eastAsia="Calibri" w:hAnsi="Calibri"/>
          <w:color w:val="222222"/>
          <w:sz w:val="21"/>
          <w:szCs w:val="21"/>
        </w:rPr>
        <w:t xml:space="preserve">How Customer Trends Impact E-commerce Stores In Nigeria — Tradift</w:t>
      </w:r>
    </w:p>
    <w:p>
      <w:pPr>
        <w:pStyle w:val="ListParagraph"/>
        <w:numPr>
          <w:ilvl w:val="0"/>
          <w:numId w:val="2"/>
        </w:numPr>
        <w:spacing w:after="60"/>
      </w:pPr>
      <w:r>
        <w:rPr>
          <w:rFonts w:ascii="Calibri" w:cs="Calibri" w:eastAsia="Calibri" w:hAnsi="Calibri"/>
          <w:color w:val="222222"/>
          <w:sz w:val="21"/>
          <w:szCs w:val="21"/>
        </w:rPr>
        <w:t xml:space="preserve">The E-Commerce Revolution in Nigeria: Fintech &amp; Digital Payments — Medium</w:t>
      </w:r>
    </w:p>
    <w:p>
      <w:pPr>
        <w:pStyle w:val="ListParagraph"/>
        <w:numPr>
          <w:ilvl w:val="0"/>
          <w:numId w:val="2"/>
        </w:numPr>
        <w:spacing w:after="60"/>
      </w:pPr>
      <w:r>
        <w:rPr>
          <w:rFonts w:ascii="Calibri" w:cs="Calibri" w:eastAsia="Calibri" w:hAnsi="Calibri"/>
          <w:color w:val="222222"/>
          <w:sz w:val="21"/>
          <w:szCs w:val="21"/>
        </w:rPr>
        <w:t xml:space="preserve">Top Admin Dashboard Designs 2026 — Asapp Studio; AdminLTE.IO e-commerce dashboard roundups</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2026-07-21T22:23:37.598Z</dcterms:created>
  <dcterms:modified xsi:type="dcterms:W3CDTF">2026-07-21T22:23:37.610Z</dcterms:modified>
</cp:coreProperties>
</file>

<file path=docProps/custom.xml><?xml version="1.0" encoding="utf-8"?>
<Properties xmlns="http://schemas.openxmlformats.org/officeDocument/2006/custom-properties" xmlns:vt="http://schemas.openxmlformats.org/officeDocument/2006/docPropsVTypes"/>
</file>