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2185B" w:val="clear"/>
            <w:tcMar>
              <w:top w:type="dxa" w:w="480"/>
              <w:left w:type="dxa" w:w="1080"/>
              <w:bottom w:type="dxa" w:w="480"/>
              <w:right w:type="dxa" w:w="10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MIRACLE BOLUWADURO BELLO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8BBD9"/>
                <w:sz w:val="24"/>
                <w:szCs w:val="24"/>
              </w:rPr>
              <w:t xml:space="preserve">Social Media Manager  •  Content Creator  •  Community Manager</w:t>
            </w:r>
          </w:p>
        </w:tc>
      </w:tr>
    </w:tbl>
    <w:p>
      <w:pPr>
        <w:pBdr>
          <w:bottom w:val="single" w:color="C2185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"/>
        <w:gridCol w:w="1700"/>
        <w:gridCol w:w="120"/>
        <w:gridCol w:w="1700"/>
        <w:gridCol w:w="120"/>
        <w:gridCol w:w="1700"/>
        <w:gridCol w:w="120"/>
        <w:gridCol w:w="1700"/>
      </w:tblGrid>
      <w:tr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Social Media Strategy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Content Creation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Video Filming &amp; Editing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Paid Ads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Analytics &amp; Reporting</w:t>
            </w:r>
          </w:p>
        </w:tc>
      </w:tr>
      <w:tr>
        <w:tc>
          <w:tcPr>
            <w:gridSpan w:val="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</w:pPr>
          </w:p>
        </w:tc>
      </w:tr>
      <w:tr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Community Management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Brand Storytelling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Audience Growth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DM &amp; Engagement</w:t>
            </w:r>
          </w:p>
        </w:tc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single" w:color="C2185B" w:sz="8"/>
              <w:left w:val="single" w:color="C2185B" w:sz="8"/>
              <w:bottom w:val="single" w:color="C2185B" w:sz="8"/>
              <w:right w:val="single" w:color="C2185B" w:sz="8"/>
            </w:tcBorders>
            <w:shd w:fill="FCE4E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4"/>
                <w:szCs w:val="24"/>
              </w:rPr>
              <w:t xml:space="preserve">Campaign Management</w:t>
            </w:r>
          </w:p>
        </w:tc>
      </w:tr>
    </w:tbl>
    <w:p>
      <w:pPr>
        <w:pBdr>
          <w:bottom w:val="single" w:color="C2185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Social Media Manager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2185B"/>
          <w:sz w:val="20"/>
          <w:szCs w:val="20"/>
        </w:rPr>
        <w:t xml:space="preserve">Kradle Africa (Edtech)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Oversee daily social media operations, content creation, and publishing across multiple platforms for a growing African edtech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Handle full video production in-house — filming, editing, and publishing content that effectively communicates the brand's educational offerings and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and nurture an active online community by engaging followers, moderating discussions, and creating a consistent brand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Serve as the bridge between the brand and its audience, ensuring timely responses, community growth, and meaningful engagement.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Social Media Manager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2185B"/>
          <w:sz w:val="20"/>
          <w:szCs w:val="20"/>
        </w:rPr>
        <w:t xml:space="preserve">Laune Official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and executed a social media content strategy aligned with the brand's sales objectives.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Created and published engaging content that directly drove product sales and converted followers into customers.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YouTube Channel Manager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2185B"/>
          <w:sz w:val="20"/>
          <w:szCs w:val="20"/>
        </w:rPr>
        <w:t xml:space="preserve">The 7th Sound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2025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full YouTube channel operations including video uploads, metadata optimisation, and publishing schedules.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Grew the channel's subscriber base from 20,000 to over 50,000 subscribers through strategic content management and consistent audience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Scaled total channel views from 200,000 to over 40 million — a 200x increase in reach and visibility.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Social Media Manager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C2185B"/>
          <w:sz w:val="20"/>
          <w:szCs w:val="20"/>
        </w:rPr>
        <w:t xml:space="preserve">Oprahadey Beauty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end-to-end social media operations including content scheduling, publishing, and maintaining a consistent brand 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Doubled the brand's follower count and grew overall audience reach by 90% through targeted content strategies and consistent community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Monitored and interpreted performance analytics to inform content strategy and improve engagement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Responded to DMs promptly, fostering customer relationships and driving brand loyalty.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Planned, launched, and optimised paid social media advertising campaigns, contributing to increased brand visibility and customer acquisition.</w:t>
      </w:r>
    </w:p>
    <w:p>
      <w:pPr>
        <w:pBdr>
          <w:bottom w:val="single" w:color="C2185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Medical Laboratory Science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Penothniel College of Health Sciences and Technology  •  2022 – 2026</w:t>
      </w:r>
    </w:p>
    <w:p>
      <w:pPr>
        <w:pBdr>
          <w:bottom w:val="single" w:color="C2185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C2185B"/>
          <w:sz w:val="22"/>
          <w:szCs w:val="22"/>
        </w:rPr>
        <w:t xml:space="preserve">SOCIALS &amp; CONTACT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LinkedIn: 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linkedin.com/in/miracle-bello-boluwaduro-25b9933b8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Instagram: 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@the__bellz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miraclebellz54@gmail.com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09013788950 / 08153395614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2026-05-18T14:42:01.567Z</dcterms:created>
  <dcterms:modified xsi:type="dcterms:W3CDTF">2026-05-18T14:42:01.585Z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