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color w:val="7530AA"/>
          <w:sz w:val="40"/>
          <w:szCs w:val="40"/>
        </w:rPr>
        <w:t xml:space="preserve">Corrigé commenté — Exercice guidé Module 1</w:t>
      </w:r>
    </w:p>
    <w:p>
      <w:pPr>
        <w:pStyle w:val="Heading1"/>
        <w:pBdr>
          <w:bottom w:val="single" w:color="E06840" w:sz="6" w:space="4"/>
        </w:pBdr>
        <w:spacing w:after="140" w:before="320"/>
      </w:pPr>
      <w:r>
        <w:rPr>
          <w:rFonts w:ascii="Arial" w:cs="Arial" w:eastAsia="Arial" w:hAnsi="Arial"/>
          <w:b/>
          <w:bCs/>
          <w:color w:val="1A1323"/>
          <w:sz w:val="28"/>
          <w:szCs w:val="28"/>
        </w:rPr>
        <w:t xml:space="preserve">Partie A — Réponses attendues</w:t>
      </w:r>
    </w:p>
    <w:tbl>
      <w:tblPr>
        <w:tblW w:type="dxa" w:w="9440"/>
        <w:tblBorders>
          <w:top w:val="single" w:color="D9D3DC" w:sz="4"/>
          <w:left w:val="single" w:color="D9D3DC" w:sz="4"/>
          <w:bottom w:val="single" w:color="D9D3DC" w:sz="4"/>
          <w:right w:val="single" w:color="D9D3DC" w:sz="4"/>
          <w:insideH w:val="single" w:color="D9D3DC" w:sz="4"/>
          <w:insideV w:val="single" w:color="D9D3DC" w:sz="4"/>
        </w:tblBorders>
      </w:tblPr>
      <w:tblGrid>
        <w:gridCol w:w="500"/>
        <w:gridCol w:w="2600"/>
        <w:gridCol w:w="1700"/>
        <w:gridCol w:w="4640"/>
      </w:tblGrid>
      <w:tr>
        <w:trPr>
          <w:tblHeader/>
        </w:trPr>
        <w:tc>
          <w:tcPr>
            <w:tcW w:type="dxa" w:w="500"/>
            <w:shd w:fill="7530AA" w:color="auto" w:val="clear"/>
            <w:tcMar>
              <w:top w:type="dxa" w:w="100"/>
              <w:left w:type="dxa" w:w="120"/>
              <w:bottom w:type="dxa" w:w="100"/>
              <w:right w:type="dxa" w:w="120"/>
            </w:tcMar>
          </w:tcPr>
          <w:p>
            <w:r>
              <w:rPr>
                <w:b/>
                <w:bCs/>
                <w:color w:val="FFFFFF"/>
                <w:sz w:val="20"/>
                <w:szCs w:val="20"/>
              </w:rPr>
              <w:t xml:space="preserve">#</w:t>
            </w:r>
          </w:p>
        </w:tc>
        <w:tc>
          <w:tcPr>
            <w:tcW w:type="dxa" w:w="2600"/>
            <w:shd w:fill="7530AA" w:color="auto" w:val="clear"/>
            <w:tcMar>
              <w:top w:type="dxa" w:w="100"/>
              <w:left w:type="dxa" w:w="120"/>
              <w:bottom w:type="dxa" w:w="100"/>
              <w:right w:type="dxa" w:w="120"/>
            </w:tcMar>
          </w:tcPr>
          <w:p>
            <w:r>
              <w:rPr>
                <w:b/>
                <w:bCs/>
                <w:color w:val="FFFFFF"/>
                <w:sz w:val="20"/>
                <w:szCs w:val="20"/>
              </w:rPr>
              <w:t xml:space="preserve">Tâche</w:t>
            </w:r>
          </w:p>
        </w:tc>
        <w:tc>
          <w:tcPr>
            <w:tcW w:type="dxa" w:w="1700"/>
            <w:shd w:fill="7530AA" w:color="auto" w:val="clear"/>
            <w:tcMar>
              <w:top w:type="dxa" w:w="100"/>
              <w:left w:type="dxa" w:w="120"/>
              <w:bottom w:type="dxa" w:w="100"/>
              <w:right w:type="dxa" w:w="120"/>
            </w:tcMar>
          </w:tcPr>
          <w:p>
            <w:r>
              <w:rPr>
                <w:b/>
                <w:bCs/>
                <w:color w:val="FFFFFF"/>
                <w:sz w:val="20"/>
                <w:szCs w:val="20"/>
              </w:rPr>
              <w:t xml:space="preserve">Outil</w:t>
            </w:r>
          </w:p>
        </w:tc>
        <w:tc>
          <w:tcPr>
            <w:tcW w:type="dxa" w:w="4640"/>
            <w:shd w:fill="7530AA" w:color="auto" w:val="clear"/>
            <w:tcMar>
              <w:top w:type="dxa" w:w="100"/>
              <w:left w:type="dxa" w:w="120"/>
              <w:bottom w:type="dxa" w:w="100"/>
              <w:right w:type="dxa" w:w="120"/>
            </w:tcMar>
          </w:tcPr>
          <w:p>
            <w:r>
              <w:rPr>
                <w:b/>
                <w:bCs/>
                <w:color w:val="FFFFFF"/>
                <w:sz w:val="20"/>
                <w:szCs w:val="20"/>
              </w:rPr>
              <w:t xml:space="preserve">Pourquoi</w:t>
            </w:r>
          </w:p>
        </w:tc>
      </w:tr>
      <w:tr>
        <w:tc>
          <w:tcPr>
            <w:tcW w:type="dxa" w:w="500"/>
            <w:tcMar>
              <w:top w:type="dxa" w:w="120"/>
              <w:left w:type="dxa" w:w="120"/>
              <w:bottom w:type="dxa" w:w="120"/>
              <w:right w:type="dxa" w:w="120"/>
            </w:tcMar>
          </w:tcPr>
          <w:p>
            <w:r>
              <w:rPr>
                <w:color w:val="1A1323"/>
                <w:sz w:val="20"/>
                <w:szCs w:val="20"/>
              </w:rPr>
              <w:t xml:space="preserve">1</w:t>
            </w:r>
          </w:p>
        </w:tc>
        <w:tc>
          <w:tcPr>
            <w:tcW w:type="dxa" w:w="2600"/>
            <w:tcMar>
              <w:top w:type="dxa" w:w="120"/>
              <w:left w:type="dxa" w:w="120"/>
              <w:bottom w:type="dxa" w:w="120"/>
              <w:right w:type="dxa" w:w="120"/>
            </w:tcMar>
          </w:tcPr>
          <w:p>
            <w:r>
              <w:rPr>
                <w:color w:val="1A1323"/>
                <w:sz w:val="20"/>
                <w:szCs w:val="20"/>
              </w:rPr>
              <w:t xml:space="preserve">Email de relance impayé</w:t>
            </w:r>
          </w:p>
        </w:tc>
        <w:tc>
          <w:tcPr>
            <w:tcW w:type="dxa" w:w="1700"/>
            <w:tcMar>
              <w:top w:type="dxa" w:w="120"/>
              <w:left w:type="dxa" w:w="120"/>
              <w:bottom w:type="dxa" w:w="120"/>
              <w:right w:type="dxa" w:w="120"/>
            </w:tcMar>
          </w:tcPr>
          <w:p>
            <w:r>
              <w:rPr>
                <w:b/>
                <w:bCs/>
                <w:color w:val="1A1323"/>
                <w:sz w:val="20"/>
                <w:szCs w:val="20"/>
              </w:rPr>
              <w:t xml:space="preserve">Claude.ai (chat)</w:t>
            </w:r>
          </w:p>
        </w:tc>
        <w:tc>
          <w:tcPr>
            <w:tcW w:type="dxa" w:w="4640"/>
            <w:tcMar>
              <w:top w:type="dxa" w:w="120"/>
              <w:left w:type="dxa" w:w="120"/>
              <w:bottom w:type="dxa" w:w="120"/>
              <w:right w:type="dxa" w:w="120"/>
            </w:tcMar>
          </w:tcPr>
          <w:p>
            <w:r>
              <w:rPr>
                <w:color w:val="1A1323"/>
                <w:sz w:val="20"/>
                <w:szCs w:val="20"/>
              </w:rPr>
              <w:t xml:space="preserve">Tâche ponctuelle, autonome, aucun fichier externe à manipuler — le chat suffit et reste le plus rapide</w:t>
            </w:r>
          </w:p>
        </w:tc>
      </w:tr>
      <w:tr>
        <w:tc>
          <w:tcPr>
            <w:tcW w:type="dxa" w:w="500"/>
            <w:tcMar>
              <w:top w:type="dxa" w:w="120"/>
              <w:left w:type="dxa" w:w="120"/>
              <w:bottom w:type="dxa" w:w="120"/>
              <w:right w:type="dxa" w:w="120"/>
            </w:tcMar>
          </w:tcPr>
          <w:p>
            <w:r>
              <w:rPr>
                <w:color w:val="1A1323"/>
                <w:sz w:val="20"/>
                <w:szCs w:val="20"/>
              </w:rPr>
              <w:t xml:space="preserve">2</w:t>
            </w:r>
          </w:p>
        </w:tc>
        <w:tc>
          <w:tcPr>
            <w:tcW w:type="dxa" w:w="2600"/>
            <w:tcMar>
              <w:top w:type="dxa" w:w="120"/>
              <w:left w:type="dxa" w:w="120"/>
              <w:bottom w:type="dxa" w:w="120"/>
              <w:right w:type="dxa" w:w="120"/>
            </w:tcMar>
          </w:tcPr>
          <w:p>
            <w:r>
              <w:rPr>
                <w:color w:val="1A1323"/>
                <w:sz w:val="20"/>
                <w:szCs w:val="20"/>
              </w:rPr>
              <w:t xml:space="preserve">Nettoyer/analyser un Excel de 500 lignes</w:t>
            </w:r>
          </w:p>
        </w:tc>
        <w:tc>
          <w:tcPr>
            <w:tcW w:type="dxa" w:w="1700"/>
            <w:tcMar>
              <w:top w:type="dxa" w:w="120"/>
              <w:left w:type="dxa" w:w="120"/>
              <w:bottom w:type="dxa" w:w="120"/>
              <w:right w:type="dxa" w:w="120"/>
            </w:tcMar>
          </w:tcPr>
          <w:p>
            <w:r>
              <w:rPr>
                <w:b/>
                <w:bCs/>
                <w:color w:val="1A1323"/>
                <w:sz w:val="20"/>
                <w:szCs w:val="20"/>
              </w:rPr>
              <w:t xml:space="preserve">Claude Code</w:t>
            </w:r>
          </w:p>
        </w:tc>
        <w:tc>
          <w:tcPr>
            <w:tcW w:type="dxa" w:w="4640"/>
            <w:tcMar>
              <w:top w:type="dxa" w:w="120"/>
              <w:left w:type="dxa" w:w="120"/>
              <w:bottom w:type="dxa" w:w="120"/>
              <w:right w:type="dxa" w:w="120"/>
            </w:tcMar>
          </w:tcPr>
          <w:p>
            <w:r>
              <w:rPr>
                <w:color w:val="1A1323"/>
                <w:sz w:val="20"/>
                <w:szCs w:val="20"/>
              </w:rPr>
              <w:t xml:space="preserve">Implique un fichier réel à lire, transformer et produire un résultat (nettoyage + analyse) — Claude Code peut ouvrir, manipuler et sauvegarder le fichier</w:t>
            </w:r>
          </w:p>
        </w:tc>
      </w:tr>
      <w:tr>
        <w:tc>
          <w:tcPr>
            <w:tcW w:type="dxa" w:w="500"/>
            <w:tcMar>
              <w:top w:type="dxa" w:w="120"/>
              <w:left w:type="dxa" w:w="120"/>
              <w:bottom w:type="dxa" w:w="120"/>
              <w:right w:type="dxa" w:w="120"/>
            </w:tcMar>
          </w:tcPr>
          <w:p>
            <w:r>
              <w:rPr>
                <w:color w:val="1A1323"/>
                <w:sz w:val="20"/>
                <w:szCs w:val="20"/>
              </w:rPr>
              <w:t xml:space="preserve">3</w:t>
            </w:r>
          </w:p>
        </w:tc>
        <w:tc>
          <w:tcPr>
            <w:tcW w:type="dxa" w:w="2600"/>
            <w:tcMar>
              <w:top w:type="dxa" w:w="120"/>
              <w:left w:type="dxa" w:w="120"/>
              <w:bottom w:type="dxa" w:w="120"/>
              <w:right w:type="dxa" w:w="120"/>
            </w:tcMar>
          </w:tcPr>
          <w:p>
            <w:r>
              <w:rPr>
                <w:color w:val="1A1323"/>
                <w:sz w:val="20"/>
                <w:szCs w:val="20"/>
              </w:rPr>
              <w:t xml:space="preserve">Construire un tableau de bord web</w:t>
            </w:r>
          </w:p>
        </w:tc>
        <w:tc>
          <w:tcPr>
            <w:tcW w:type="dxa" w:w="1700"/>
            <w:tcMar>
              <w:top w:type="dxa" w:w="120"/>
              <w:left w:type="dxa" w:w="120"/>
              <w:bottom w:type="dxa" w:w="120"/>
              <w:right w:type="dxa" w:w="120"/>
            </w:tcMar>
          </w:tcPr>
          <w:p>
            <w:r>
              <w:rPr>
                <w:b/>
                <w:bCs/>
                <w:color w:val="1A1323"/>
                <w:sz w:val="20"/>
                <w:szCs w:val="20"/>
              </w:rPr>
              <w:t xml:space="preserve">Claude Code</w:t>
            </w:r>
          </w:p>
        </w:tc>
        <w:tc>
          <w:tcPr>
            <w:tcW w:type="dxa" w:w="4640"/>
            <w:tcMar>
              <w:top w:type="dxa" w:w="120"/>
              <w:left w:type="dxa" w:w="120"/>
              <w:bottom w:type="dxa" w:w="120"/>
              <w:right w:type="dxa" w:w="120"/>
            </w:tcMar>
          </w:tcPr>
          <w:p>
            <w:r>
              <w:rPr>
                <w:color w:val="1A1323"/>
                <w:sz w:val="20"/>
                <w:szCs w:val="20"/>
              </w:rPr>
              <w:t xml:space="preserve">Il faut créer un livrable structuré (une application) avec plusieurs fichiers — c'est le cœur de ce que fait Claude Code (voir Module 4)</w:t>
            </w:r>
          </w:p>
        </w:tc>
      </w:tr>
      <w:tr>
        <w:tc>
          <w:tcPr>
            <w:tcW w:type="dxa" w:w="500"/>
            <w:tcMar>
              <w:top w:type="dxa" w:w="120"/>
              <w:left w:type="dxa" w:w="120"/>
              <w:bottom w:type="dxa" w:w="120"/>
              <w:right w:type="dxa" w:w="120"/>
            </w:tcMar>
          </w:tcPr>
          <w:p>
            <w:r>
              <w:rPr>
                <w:color w:val="1A1323"/>
                <w:sz w:val="20"/>
                <w:szCs w:val="20"/>
              </w:rPr>
              <w:t xml:space="preserve">4</w:t>
            </w:r>
          </w:p>
        </w:tc>
        <w:tc>
          <w:tcPr>
            <w:tcW w:type="dxa" w:w="2600"/>
            <w:tcMar>
              <w:top w:type="dxa" w:w="120"/>
              <w:left w:type="dxa" w:w="120"/>
              <w:bottom w:type="dxa" w:w="120"/>
              <w:right w:type="dxa" w:w="120"/>
            </w:tcMar>
          </w:tcPr>
          <w:p>
            <w:r>
              <w:rPr>
                <w:color w:val="1A1323"/>
                <w:sz w:val="20"/>
                <w:szCs w:val="20"/>
              </w:rPr>
              <w:t xml:space="preserve">Comparer les tarifs de 5 concurrents en ligne</w:t>
            </w:r>
          </w:p>
        </w:tc>
        <w:tc>
          <w:tcPr>
            <w:tcW w:type="dxa" w:w="1700"/>
            <w:tcMar>
              <w:top w:type="dxa" w:w="120"/>
              <w:left w:type="dxa" w:w="120"/>
              <w:bottom w:type="dxa" w:w="120"/>
              <w:right w:type="dxa" w:w="120"/>
            </w:tcMar>
          </w:tcPr>
          <w:p>
            <w:r>
              <w:rPr>
                <w:b/>
                <w:bCs/>
                <w:color w:val="1A1323"/>
                <w:sz w:val="20"/>
                <w:szCs w:val="20"/>
              </w:rPr>
              <w:t xml:space="preserve">Claude in Chrome</w:t>
            </w:r>
          </w:p>
        </w:tc>
        <w:tc>
          <w:tcPr>
            <w:tcW w:type="dxa" w:w="4640"/>
            <w:tcMar>
              <w:top w:type="dxa" w:w="120"/>
              <w:left w:type="dxa" w:w="120"/>
              <w:bottom w:type="dxa" w:w="120"/>
              <w:right w:type="dxa" w:w="120"/>
            </w:tcMar>
          </w:tcPr>
          <w:p>
            <w:r>
              <w:rPr>
                <w:color w:val="1A1323"/>
                <w:sz w:val="20"/>
                <w:szCs w:val="20"/>
              </w:rPr>
              <w:t xml:space="preserve">La tâche nécessite de naviguer réellement sur des pages web externes, pas de traiter un fichier ou répondre à une question théorique</w:t>
            </w:r>
          </w:p>
        </w:tc>
      </w:tr>
      <w:tr>
        <w:tc>
          <w:tcPr>
            <w:tcW w:type="dxa" w:w="500"/>
            <w:tcMar>
              <w:top w:type="dxa" w:w="120"/>
              <w:left w:type="dxa" w:w="120"/>
              <w:bottom w:type="dxa" w:w="120"/>
              <w:right w:type="dxa" w:w="120"/>
            </w:tcMar>
          </w:tcPr>
          <w:p>
            <w:r>
              <w:rPr>
                <w:color w:val="1A1323"/>
                <w:sz w:val="20"/>
                <w:szCs w:val="20"/>
              </w:rPr>
              <w:t xml:space="preserve">5</w:t>
            </w:r>
          </w:p>
        </w:tc>
        <w:tc>
          <w:tcPr>
            <w:tcW w:type="dxa" w:w="2600"/>
            <w:tcMar>
              <w:top w:type="dxa" w:w="120"/>
              <w:left w:type="dxa" w:w="120"/>
              <w:bottom w:type="dxa" w:w="120"/>
              <w:right w:type="dxa" w:w="120"/>
            </w:tcMar>
          </w:tcPr>
          <w:p>
            <w:r>
              <w:rPr>
                <w:color w:val="1A1323"/>
                <w:sz w:val="20"/>
                <w:szCs w:val="20"/>
              </w:rPr>
              <w:t xml:space="preserve">Suivre un projet client sur plusieurs semaines</w:t>
            </w:r>
          </w:p>
        </w:tc>
        <w:tc>
          <w:tcPr>
            <w:tcW w:type="dxa" w:w="1700"/>
            <w:tcMar>
              <w:top w:type="dxa" w:w="120"/>
              <w:left w:type="dxa" w:w="120"/>
              <w:bottom w:type="dxa" w:w="120"/>
              <w:right w:type="dxa" w:w="120"/>
            </w:tcMar>
          </w:tcPr>
          <w:p>
            <w:r>
              <w:rPr>
                <w:b/>
                <w:bCs/>
                <w:color w:val="1A1323"/>
                <w:sz w:val="20"/>
                <w:szCs w:val="20"/>
              </w:rPr>
              <w:t xml:space="preserve">Claude Cowork</w:t>
            </w:r>
          </w:p>
        </w:tc>
        <w:tc>
          <w:tcPr>
            <w:tcW w:type="dxa" w:w="4640"/>
            <w:tcMar>
              <w:top w:type="dxa" w:w="120"/>
              <w:left w:type="dxa" w:w="120"/>
              <w:bottom w:type="dxa" w:w="120"/>
              <w:right w:type="dxa" w:w="120"/>
            </w:tcMar>
          </w:tcPr>
          <w:p>
            <w:r>
              <w:rPr>
                <w:color w:val="1A1323"/>
                <w:sz w:val="20"/>
                <w:szCs w:val="20"/>
              </w:rPr>
              <w:t xml:space="preserve">Suivi dans la durée, plusieurs tâches et échéances à orchestrer — au-delà d'une session de travail unique</w:t>
            </w:r>
          </w:p>
        </w:tc>
      </w:tr>
      <w:tr>
        <w:tc>
          <w:tcPr>
            <w:tcW w:type="dxa" w:w="500"/>
            <w:tcMar>
              <w:top w:type="dxa" w:w="120"/>
              <w:left w:type="dxa" w:w="120"/>
              <w:bottom w:type="dxa" w:w="120"/>
              <w:right w:type="dxa" w:w="120"/>
            </w:tcMar>
          </w:tcPr>
          <w:p>
            <w:r>
              <w:rPr>
                <w:color w:val="1A1323"/>
                <w:sz w:val="20"/>
                <w:szCs w:val="20"/>
              </w:rPr>
              <w:t xml:space="preserve">6</w:t>
            </w:r>
          </w:p>
        </w:tc>
        <w:tc>
          <w:tcPr>
            <w:tcW w:type="dxa" w:w="2600"/>
            <w:tcMar>
              <w:top w:type="dxa" w:w="120"/>
              <w:left w:type="dxa" w:w="120"/>
              <w:bottom w:type="dxa" w:w="120"/>
              <w:right w:type="dxa" w:w="120"/>
            </w:tcMar>
          </w:tcPr>
          <w:p>
            <w:r>
              <w:rPr>
                <w:color w:val="1A1323"/>
                <w:sz w:val="20"/>
                <w:szCs w:val="20"/>
              </w:rPr>
              <w:t xml:space="preserve">Créer la maquette d'une landing page pour une nouvelle offre</w:t>
            </w:r>
          </w:p>
        </w:tc>
        <w:tc>
          <w:tcPr>
            <w:tcW w:type="dxa" w:w="1700"/>
            <w:tcMar>
              <w:top w:type="dxa" w:w="120"/>
              <w:left w:type="dxa" w:w="120"/>
              <w:bottom w:type="dxa" w:w="120"/>
              <w:right w:type="dxa" w:w="120"/>
            </w:tcMar>
          </w:tcPr>
          <w:p>
            <w:r>
              <w:rPr>
                <w:b/>
                <w:bCs/>
                <w:color w:val="1A1323"/>
                <w:sz w:val="20"/>
                <w:szCs w:val="20"/>
              </w:rPr>
              <w:t xml:space="preserve">Claude Design</w:t>
            </w:r>
          </w:p>
        </w:tc>
        <w:tc>
          <w:tcPr>
            <w:tcW w:type="dxa" w:w="4640"/>
            <w:tcMar>
              <w:top w:type="dxa" w:w="120"/>
              <w:left w:type="dxa" w:w="120"/>
              <w:bottom w:type="dxa" w:w="120"/>
              <w:right w:type="dxa" w:w="120"/>
            </w:tcMar>
          </w:tcPr>
          <w:p>
            <w:r>
              <w:rPr>
                <w:color w:val="1A1323"/>
                <w:sz w:val="20"/>
                <w:szCs w:val="20"/>
              </w:rPr>
              <w:t xml:space="preserve">Rendu visuel professionnel attendu, avec des ajustements en temps réel sur une toile — pas un fichier de code à relire ni une simple réponse texte</w:t>
            </w:r>
          </w:p>
        </w:tc>
      </w:tr>
    </w:tbl>
    <w:p>
      <w:pPr>
        <w:spacing w:after="160"/>
      </w:pPr>
    </w:p>
    <w:tbl>
      <w:tblPr>
        <w:tblW w:type="pct" w:w="100%"/>
        <w:tblBorders>
          <w:top w:val="single" w:color="D9D3DC" w:sz="4"/>
          <w:left w:val="single" w:color="D9D3DC" w:sz="4"/>
          <w:bottom w:val="single" w:color="D9D3DC" w:sz="4"/>
          <w:right w:val="single" w:color="D9D3DC" w:sz="4"/>
          <w:insideH w:val="none"/>
          <w:insideV w:val="none"/>
        </w:tblBorders>
      </w:tblPr>
      <w:tblGrid>
        <w:gridCol w:w="100"/>
      </w:tblGrid>
      <w:tr>
        <w:tc>
          <w:tcPr>
            <w:tcW w:type="pct" w:w="100%"/>
            <w:shd w:fill="FCEAE2" w:color="auto" w:val="clear"/>
            <w:tcMar>
              <w:top w:type="dxa" w:w="160"/>
              <w:left w:type="dxa" w:w="220"/>
              <w:bottom w:type="dxa" w:w="160"/>
              <w:right w:type="dxa" w:w="220"/>
            </w:tcMar>
          </w:tcPr>
          <w:p>
            <w:pPr>
              <w:spacing w:after="0" w:line="280"/>
            </w:pPr>
            <w:r>
              <w:rPr>
                <w:rFonts w:ascii="Arial" w:cs="Arial" w:eastAsia="Arial" w:hAnsi="Arial"/>
                <w:b/>
                <w:bCs/>
                <w:color w:val="1A1323"/>
                <w:sz w:val="22"/>
                <w:szCs w:val="22"/>
              </w:rPr>
              <w:t xml:space="preserve">Piège fréquent à surveiller (côté animateur) : </w:t>
            </w:r>
            <w:r>
              <w:rPr>
                <w:rFonts w:ascii="Arial" w:cs="Arial" w:eastAsia="Arial" w:hAnsi="Arial"/>
                <w:color w:val="1A1323"/>
                <w:sz w:val="22"/>
                <w:szCs w:val="22"/>
              </w:rPr>
              <w:t xml:space="preserve">beaucoup de participants répondent « Claude Code » à la tâche 1 par réflexe (« c'est plus puissant ») — l'occasion de rappeler que le bon outil est le plus simple qui suffit, pas le plus impressionnant. Utiliser Claude Code pour un email ponctuel n'est pas une erreur fatale, mais c'est un détour inutile. Sur la tâche 6, certains répondront « Claude Code » aussi — rappeler que Claude Design reste préférable en première intention pour un rendu visuel à itérer avec un client, Claude Code prenant le relais une fois la maquette validée pour la rendre fonctionnelle (lien direct avec le Module 4).</w:t>
            </w:r>
          </w:p>
        </w:tc>
      </w:tr>
    </w:tbl>
    <w:p>
      <w:pPr>
        <w:pStyle w:val="Heading1"/>
        <w:pBdr>
          <w:bottom w:val="single" w:color="E06840" w:sz="6" w:space="4"/>
        </w:pBdr>
        <w:spacing w:after="140" w:before="320"/>
      </w:pPr>
      <w:r>
        <w:rPr>
          <w:rFonts w:ascii="Arial" w:cs="Arial" w:eastAsia="Arial" w:hAnsi="Arial"/>
          <w:b/>
          <w:bCs/>
          <w:color w:val="1A1323"/>
          <w:sz w:val="28"/>
          <w:szCs w:val="28"/>
        </w:rPr>
        <w:t xml:space="preserve">Partie B — Points de vérification</w:t>
      </w:r>
    </w:p>
    <w:p>
      <w:pPr>
        <w:pStyle w:val="ListParagraph"/>
        <w:numPr>
          <w:ilvl w:val="0"/>
          <w:numId w:val="2"/>
        </w:numPr>
        <w:spacing w:after="100" w:line="290"/>
      </w:pPr>
      <w:r>
        <w:rPr>
          <w:rFonts w:ascii="Arial" w:cs="Arial" w:eastAsia="Arial" w:hAnsi="Arial"/>
          <w:color w:val="1A1323"/>
          <w:sz w:val="22"/>
          <w:szCs w:val="22"/>
        </w:rPr>
        <w:t xml:space="preserve">Si claude --version ne répond rien : vérifier que l'installation s'est terminée sans erreur affichée, relancer un nouveau terminal (parfois nécessaire pour que la commande soit reconnue).</w:t>
      </w:r>
    </w:p>
    <w:p>
      <w:pPr>
        <w:pStyle w:val="ListParagraph"/>
        <w:numPr>
          <w:ilvl w:val="0"/>
          <w:numId w:val="2"/>
        </w:numPr>
        <w:spacing w:after="100" w:line="290"/>
      </w:pPr>
      <w:r>
        <w:rPr>
          <w:rFonts w:ascii="Arial" w:cs="Arial" w:eastAsia="Arial" w:hAnsi="Arial"/>
          <w:color w:val="1A1323"/>
          <w:sz w:val="22"/>
          <w:szCs w:val="22"/>
        </w:rPr>
        <w:t xml:space="preserve">Une Skill « réussie » au sens de cet exercice n'a pas besoin d'être parfaite — elle doit juste produire un résultat plus rapide et plus cohérent que sans elle, dès le premier test.</w:t>
      </w:r>
    </w:p>
    <w:p>
      <w:pPr>
        <w:pStyle w:val="ListParagraph"/>
        <w:numPr>
          <w:ilvl w:val="0"/>
          <w:numId w:val="2"/>
        </w:numPr>
        <w:spacing w:after="100" w:line="290"/>
      </w:pPr>
      <w:r>
        <w:rPr>
          <w:rFonts w:ascii="Arial" w:cs="Arial" w:eastAsia="Arial" w:hAnsi="Arial"/>
          <w:color w:val="1A1323"/>
          <w:sz w:val="22"/>
          <w:szCs w:val="22"/>
        </w:rPr>
        <w:t xml:space="preserve">Un connecteur MCP « testé avec succès » veut dire : Claude a utilisé une information provenant réellement de l'outil connecté (pas une information qu'il aurait pu deviner ou déjà savoir).</w:t>
      </w:r>
    </w:p>
    <w:p>
      <w:pPr>
        <w:pStyle w:val="Heading1"/>
        <w:pBdr>
          <w:bottom w:val="single" w:color="E06840" w:sz="6" w:space="4"/>
        </w:pBdr>
        <w:spacing w:after="140" w:before="320"/>
      </w:pPr>
      <w:r>
        <w:rPr>
          <w:rFonts w:ascii="Arial" w:cs="Arial" w:eastAsia="Arial" w:hAnsi="Arial"/>
          <w:b/>
          <w:bCs/>
          <w:color w:val="1A1323"/>
          <w:sz w:val="28"/>
          <w:szCs w:val="28"/>
        </w:rPr>
        <w:t xml:space="preserve">Partie C — Exemples de bonnes réponses (pour s'inspirer, pas pour copier)</w:t>
      </w:r>
    </w:p>
    <w:tbl>
      <w:tblPr>
        <w:tblW w:type="pct" w:w="100%"/>
        <w:tblBorders>
          <w:top w:val="single" w:color="D9D3DC" w:sz="4"/>
          <w:left w:val="single" w:color="D9D3DC" w:sz="4"/>
          <w:bottom w:val="single" w:color="D9D3DC" w:sz="4"/>
          <w:right w:val="single" w:color="D9D3DC" w:sz="4"/>
          <w:insideH w:val="none"/>
          <w:insideV w:val="none"/>
        </w:tblBorders>
      </w:tblPr>
      <w:tblGrid>
        <w:gridCol w:w="100"/>
      </w:tblGrid>
      <w:tr>
        <w:tc>
          <w:tcPr>
            <w:tcW w:type="pct" w:w="100%"/>
            <w:shd w:fill="F4ECFB" w:color="auto" w:val="clear"/>
            <w:tcMar>
              <w:top w:type="dxa" w:w="160"/>
              <w:left w:type="dxa" w:w="220"/>
              <w:bottom w:type="dxa" w:w="160"/>
              <w:right w:type="dxa" w:w="220"/>
            </w:tcMar>
          </w:tcPr>
          <w:p>
            <w:pPr>
              <w:spacing w:after="100" w:line="280"/>
            </w:pPr>
            <w:r>
              <w:rPr>
                <w:rFonts w:ascii="Arial" w:cs="Arial" w:eastAsia="Arial" w:hAnsi="Arial"/>
                <w:i/>
                <w:iCs/>
                <w:color w:val="5B5560"/>
                <w:sz w:val="22"/>
                <w:szCs w:val="22"/>
              </w:rPr>
              <w:t xml:space="preserve">1. Je refais chaque semaine un résumé de mes appels de suivi client.</w:t>
            </w:r>
          </w:p>
          <w:p>
            <w:pPr>
              <w:spacing w:after="100" w:line="280"/>
            </w:pPr>
            <w:r>
              <w:rPr>
                <w:rFonts w:ascii="Arial" w:cs="Arial" w:eastAsia="Arial" w:hAnsi="Arial"/>
                <w:i/>
                <w:iCs/>
                <w:color w:val="5B5560"/>
                <w:sz w:val="22"/>
                <w:szCs w:val="22"/>
              </w:rPr>
              <w:t xml:space="preserve">2. Je veux toujours 3 sections : contexte de l'appel, décisions, prochaine action.</w:t>
            </w:r>
          </w:p>
          <w:p>
            <w:pPr>
              <w:spacing w:after="0" w:line="280"/>
            </w:pPr>
            <w:r>
              <w:rPr>
                <w:rFonts w:ascii="Arial" w:cs="Arial" w:eastAsia="Arial" w:hAnsi="Arial"/>
                <w:i/>
                <w:iCs/>
                <w:color w:val="5B5560"/>
                <w:sz w:val="22"/>
                <w:szCs w:val="22"/>
              </w:rPr>
              <w:t xml:space="preserve">3. Je ne veux jamais qu'il invente une décision qui n'a pas été dite explicitement.</w:t>
            </w:r>
          </w:p>
        </w:tc>
      </w:tr>
    </w:tbl>
    <w:p>
      <w:pPr>
        <w:spacing w:after="160"/>
      </w:pPr>
    </w:p>
    <w:p>
      <w:pPr>
        <w:spacing w:after="160" w:line="300"/>
      </w:pPr>
      <w:r>
        <w:rPr>
          <w:rFonts w:ascii="Arial" w:cs="Arial" w:eastAsia="Arial" w:hAnsi="Arial"/>
          <w:color w:val="1A1323"/>
          <w:sz w:val="22"/>
          <w:szCs w:val="22"/>
        </w:rPr>
        <w:t xml:space="preserve">Cette réponse donne directement une Skill utilisable : </w:t>
      </w:r>
      <w:r>
        <w:rPr>
          <w:rFonts w:ascii="Arial" w:cs="Arial" w:eastAsia="Arial" w:hAnsi="Arial"/>
          <w:i/>
          <w:iCs/>
          <w:color w:val="5B5560"/>
          <w:sz w:val="22"/>
          <w:szCs w:val="22"/>
        </w:rPr>
        <w:t xml:space="preserve">« Crée une Skill nommée resume-appel-client qui structure mes notes d'appel en 3 sections : Contexte, Décisions, Prochaine action — sans jamais inventer une décision non explicite.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rFonts w:ascii="Arial" w:cs="Arial" w:eastAsia="Arial" w:hAnsi="Arial"/>
        <w:color w:val="E0684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2026-08-11T05:51:19.104Z</dcterms:created>
  <dcterms:modified xsi:type="dcterms:W3CDTF">2026-08-11T05:51:19.104Z</dcterms:modified>
</cp:coreProperties>
</file>

<file path=docProps/custom.xml><?xml version="1.0" encoding="utf-8"?>
<Properties xmlns="http://schemas.openxmlformats.org/officeDocument/2006/custom-properties" xmlns:vt="http://schemas.openxmlformats.org/officeDocument/2006/docPropsVTypes"/>
</file>