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rPr>
          <w:rFonts w:ascii="Poppins" w:cs="Poppins" w:eastAsia="Poppins" w:hAnsi="Poppins"/>
          <w:b/>
          <w:bCs/>
          <w:color w:val="7530AA"/>
          <w:sz w:val="34"/>
          <w:szCs w:val="34"/>
        </w:rPr>
        <w:t xml:space="preserve">Notes présentateur — Module 2 — Communiquer avec Claude comme un expert</w:t>
      </w:r>
    </w:p>
    <w:p>
      <w:pPr>
        <w:spacing w:after="220"/>
      </w:pPr>
      <w:r>
        <w:rPr>
          <w:rFonts w:ascii="Poppins" w:cs="Poppins" w:eastAsia="Poppins" w:hAnsi="Poppins"/>
          <w:b w:val="false"/>
          <w:bCs w:val="false"/>
          <w:color w:val="1A1323"/>
          <w:sz w:val="20"/>
          <w:szCs w:val="20"/>
        </w:rPr>
        <w:t xml:space="preserve">Numérotation alignée sur </w:t>
      </w:r>
      <w:r>
        <w:rPr>
          <w:rFonts w:ascii="Courier New" w:cs="Courier New" w:eastAsia="Courier New" w:hAnsi="Courier New"/>
          <w:b w:val="false"/>
          <w:bCs w:val="false"/>
          <w:color w:val="1A1323"/>
          <w:sz w:val="20"/>
          <w:szCs w:val="20"/>
        </w:rPr>
        <w:t xml:space="preserve">modules/module-2-prompting-expert/03-support-slides.md</w:t>
      </w:r>
      <w:r>
        <w:rPr>
          <w:rFonts w:ascii="Poppins" w:cs="Poppins" w:eastAsia="Poppins" w:hAnsi="Poppins"/>
          <w:b w:val="false"/>
          <w:bCs w:val="false"/>
          <w:color w:val="1A1323"/>
          <w:sz w:val="20"/>
          <w:szCs w:val="20"/>
        </w:rPr>
        <w:t xml:space="preserve">. Le script d'ouverture/clôture mot à mot est dans </w:t>
      </w:r>
      <w:r>
        <w:rPr>
          <w:rFonts w:ascii="Courier New" w:cs="Courier New" w:eastAsia="Courier New" w:hAnsi="Courier New"/>
          <w:b w:val="false"/>
          <w:bCs w:val="false"/>
          <w:color w:val="1A1323"/>
          <w:sz w:val="20"/>
          <w:szCs w:val="20"/>
        </w:rPr>
        <w:t xml:space="preserve">kit-animateur/run-of-show-session-2.md</w:t>
      </w:r>
      <w:r>
        <w:rPr>
          <w:rFonts w:ascii="Poppins" w:cs="Poppins" w:eastAsia="Poppins" w:hAnsi="Poppins"/>
          <w:b w:val="false"/>
          <w:bCs w:val="false"/>
          <w:color w:val="1A1323"/>
          <w:sz w:val="20"/>
          <w:szCs w:val="20"/>
        </w:rPr>
        <w:t xml:space="preserve"> — ce fichier couvre les slides intermédiaires, pas répétées ici.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"/>
        <w:gridCol w:w="8064"/>
      </w:tblGrid>
      <w:tr>
        <w:trPr>
          <w:cantSplit/>
          <w:tblHeader/>
        </w:trPr>
        <w:tc>
          <w:tcPr>
            <w:tcW w:type="dxa" w:w="1296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EDE0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7530AA"/>
                <w:sz w:val="21"/>
                <w:szCs w:val="21"/>
              </w:rPr>
              <w:t xml:space="preserve">Slide</w:t>
            </w:r>
          </w:p>
        </w:tc>
        <w:tc>
          <w:tcPr>
            <w:tcW w:type="dxa" w:w="8064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EDE0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7530AA"/>
                <w:sz w:val="21"/>
                <w:szCs w:val="21"/>
              </w:rPr>
              <w:t xml:space="preserve">Ce qu'il faut dire (pas seulement montrer)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1A1323"/>
                <w:sz w:val="20"/>
                <w:szCs w:val="20"/>
              </w:rPr>
              <w:t xml:space="preserve">1 — Titre</w:t>
            </w:r>
          </w:p>
        </w:tc>
        <w:tc>
          <w:tcPr>
            <w:tcW w:type="dxa" w:w="8064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323"/>
                <w:sz w:val="21"/>
                <w:szCs w:val="21"/>
              </w:rPr>
              <w:t xml:space="preserve">Laisser la slide 5-10 secondes en silence pendant que les derniers participants arrivent, puis dérouler le script d'ouverture de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1323"/>
                <w:sz w:val="21"/>
                <w:szCs w:val="21"/>
              </w:rPr>
              <w:t xml:space="preserve">run-of-show-session-2.md</w:t>
            </w:r>
            <w:r>
              <w:rPr>
                <w:rFonts w:ascii="Poppins" w:cs="Poppins" w:eastAsia="Poppins" w:hAnsi="Poppins"/>
                <w:b w:val="false"/>
                <w:bCs w:val="false"/>
                <w:color w:val="1A1323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DF3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1A1323"/>
                <w:sz w:val="20"/>
                <w:szCs w:val="20"/>
              </w:rPr>
              <w:t xml:space="preserve">2 — Section "Partie 1/5"</w:t>
            </w:r>
          </w:p>
        </w:tc>
        <w:tc>
          <w:tcPr>
            <w:tcW w:type="dxa" w:w="8064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DF3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323"/>
                <w:sz w:val="21"/>
                <w:szCs w:val="21"/>
              </w:rPr>
              <w:t xml:space="preserve">"Fatou reformule le même prompt 4 fois avant d'obtenir ce qu'elle veut. Ce qu'on va voir dans les 15 prochaines minutes va lui éviter — et vous éviter — de continuer à faire ça."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1A1323"/>
                <w:sz w:val="20"/>
                <w:szCs w:val="20"/>
              </w:rPr>
              <w:t xml:space="preserve">3 — C.L.A.R.T.É en 6 lettres</w:t>
            </w:r>
          </w:p>
        </w:tc>
        <w:tc>
          <w:tcPr>
            <w:tcW w:type="dxa" w:w="8064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323"/>
                <w:sz w:val="21"/>
                <w:szCs w:val="21"/>
              </w:rPr>
              <w:t xml:space="preserve">Ne pas lire les 6 mots d'affilée comme une liste scolaire — marquer un temps sur chacun avec une micro-question à voix haute ("Contexte : qui je suis, pour qui je travaille — vous l'oubliez souvent ?"). S'arrêter plus longuement sur l'encadré : "un prompt sans Audience change de ton, c'est souvent l'oubli le plus coûteux — et c'est celui que presque tout le monde fait."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DF3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1A1323"/>
                <w:sz w:val="20"/>
                <w:szCs w:val="20"/>
              </w:rPr>
              <w:t xml:space="preserve">4 — Citation Fatou (avant/après)</w:t>
            </w:r>
          </w:p>
        </w:tc>
        <w:tc>
          <w:tcPr>
            <w:tcW w:type="dxa" w:w="8064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DF3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323"/>
                <w:sz w:val="21"/>
                <w:szCs w:val="21"/>
              </w:rPr>
              <w:t xml:space="preserve">Ton anecdotique, presque complice : "Ça vous parle, un email générique qui pourrait avoir été envoyé par n'importe qui ? On va voir dans deux minutes exactement ce qui change." Ne pas encore montrer le prompt complet — il arrive dans la démo, garder la tension.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1A1323"/>
                <w:sz w:val="20"/>
                <w:szCs w:val="20"/>
              </w:rPr>
              <w:t xml:space="preserve">5 — Avant/après sur un cas réel</w:t>
            </w:r>
          </w:p>
        </w:tc>
        <w:tc>
          <w:tcPr>
            <w:tcW w:type="dxa" w:w="8064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323"/>
                <w:sz w:val="21"/>
                <w:szCs w:val="21"/>
              </w:rPr>
              <w:t xml:space="preserve">Laisser le regard de la salle aller de la colonne de gauche à la colonne de droite avant de commenter : "Regardez bien — à droite, Claude n'a rien fait de plus intelligent qu'à gauche. Il a juste reçu plus d'informations." Insister sur l'encadré : "le prompt le plus long n'est pas le meilleur."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DF3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1A1323"/>
                <w:sz w:val="20"/>
                <w:szCs w:val="20"/>
              </w:rPr>
              <w:t xml:space="preserve">6 — Section "Partie 2/5"</w:t>
            </w:r>
          </w:p>
        </w:tc>
        <w:tc>
          <w:tcPr>
            <w:tcW w:type="dxa" w:w="8064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DF3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323"/>
                <w:sz w:val="21"/>
                <w:szCs w:val="21"/>
              </w:rPr>
              <w:t xml:space="preserve">"Deuxième réflexe, encore plus simple à retenir : toutes les demandes à Claude ne se valent pas. Certaines méritent qu'on lui demande de réfléchir avant d'agir."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1A1323"/>
                <w:sz w:val="20"/>
                <w:szCs w:val="20"/>
              </w:rPr>
              <w:t xml:space="preserve">7 — Question vs mission</w:t>
            </w:r>
          </w:p>
        </w:tc>
        <w:tc>
          <w:tcPr>
            <w:tcW w:type="dxa" w:w="8064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323"/>
                <w:sz w:val="21"/>
                <w:szCs w:val="21"/>
              </w:rPr>
              <w:t xml:space="preserve">Utiliser l'analogie orale plutôt que de lire la liste : "Une question, c'est demander l'heure à un collègue qui passe dans le couloir. Une mission, c'est lui confier un dossier — vous n'attendez pas un résultat parfait sans avoir vérifié son plan d'abord." Terminer sur la phrase-réflexe à retenir : "réfléchis étape par étape, présente ton plan avant d'exécuter" — dire qu'on va la voir vivre dans 10 minutes.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DF3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1A1323"/>
                <w:sz w:val="20"/>
                <w:szCs w:val="20"/>
              </w:rPr>
              <w:t xml:space="preserve">8 — Section "Partie 3/5"</w:t>
            </w:r>
          </w:p>
        </w:tc>
        <w:tc>
          <w:tcPr>
            <w:tcW w:type="dxa" w:w="8064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DF3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323"/>
                <w:sz w:val="21"/>
                <w:szCs w:val="21"/>
              </w:rPr>
              <w:t xml:space="preserve">"Troisième étape, celle qui transforme un bon coup de chance en actif réutilisable : comment un prompt qui a marché une fois peut marcher indéfiniment, sur n'importe quel client."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1A1323"/>
                <w:sz w:val="20"/>
                <w:szCs w:val="20"/>
              </w:rPr>
              <w:t xml:space="preserve">9 — Prompt ponctuel → gabarit à </w:t>
            </w:r>
            <w:r>
              <w:rPr>
                <w:rFonts w:ascii="Courier New" w:cs="Courier New" w:eastAsia="Courier New" w:hAnsi="Courier New"/>
                <w:b/>
                <w:bCs/>
                <w:color w:val="1A1323"/>
                <w:sz w:val="20"/>
                <w:szCs w:val="20"/>
              </w:rPr>
              <w:t xml:space="preserve">{variables}</w:t>
            </w:r>
          </w:p>
        </w:tc>
        <w:tc>
          <w:tcPr>
            <w:tcW w:type="dxa" w:w="8064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323"/>
                <w:sz w:val="21"/>
                <w:szCs w:val="21"/>
              </w:rPr>
              <w:t xml:space="preserve">Laisser le regard sur les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1323"/>
                <w:sz w:val="21"/>
                <w:szCs w:val="21"/>
              </w:rPr>
              <w:t xml:space="preserve">{variables}</w:t>
            </w:r>
            <w:r>
              <w:rPr>
                <w:rFonts w:ascii="Poppins" w:cs="Poppins" w:eastAsia="Poppins" w:hAnsi="Poppins"/>
                <w:b w:val="false"/>
                <w:bCs w:val="false"/>
                <w:color w:val="1A1323"/>
                <w:sz w:val="21"/>
                <w:szCs w:val="21"/>
              </w:rPr>
              <w:t xml:space="preserve"> en évidence 2-3 secondes avant de commenter, même traitement typographique que le frontmatter YAML du Module 1 : "Ce n'est pas plus compliqué à écrire — c'est le même prompt, avec les informations qui changent d'un client à l'autre remplacées par une accolade." Insister sur l'encadré : "rentable dès le 2ᵉ client sur lequel vous le réutilisez." Enchaîner directement sur la démo du sous-bloc C.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DF3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1A1323"/>
                <w:sz w:val="20"/>
                <w:szCs w:val="20"/>
              </w:rPr>
              <w:t xml:space="preserve">10 — Section "Partie 4/5"</w:t>
            </w:r>
          </w:p>
        </w:tc>
        <w:tc>
          <w:tcPr>
            <w:tcW w:type="dxa" w:w="8064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DF3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323"/>
                <w:sz w:val="21"/>
                <w:szCs w:val="21"/>
              </w:rPr>
              <w:t xml:space="preserve">Baisser légèrement le rythme : "Celle-ci change une habitude, pas seulement une technique — arrêter d'attendre un résultat parfait en un seul message."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1A1323"/>
                <w:sz w:val="20"/>
                <w:szCs w:val="20"/>
              </w:rPr>
              <w:t xml:space="preserve">11 — Brief → Brouillon → Critique → Version finale</w:t>
            </w:r>
          </w:p>
        </w:tc>
        <w:tc>
          <w:tcPr>
            <w:tcW w:type="dxa" w:w="8064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323"/>
                <w:sz w:val="21"/>
                <w:szCs w:val="21"/>
              </w:rPr>
              <w:t xml:space="preserve">Nommer les 4 étapes à voix haute en les comptant sur les doigts, pas seulement en les lisant à l'écran. S'arrêter sur l'étape 3 (Critique) plus longtemps que les autres : "c'est celle que presque tout le monde saute — et c'est pourtant la plus rentable, elle fait remonter ce qu'on ne verrait jamais soi-même en relisant vite." Insister sur l'encadré : "4 messages courts battent 1 message parfait à écrire du premier coup."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DF3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1A1323"/>
                <w:sz w:val="20"/>
                <w:szCs w:val="20"/>
              </w:rPr>
              <w:t xml:space="preserve">12 — Section "Partie 5/5"</w:t>
            </w:r>
          </w:p>
        </w:tc>
        <w:tc>
          <w:tcPr>
            <w:tcW w:type="dxa" w:w="8064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DF3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323"/>
                <w:sz w:val="21"/>
                <w:szCs w:val="21"/>
              </w:rPr>
              <w:t xml:space="preserve">"Dernière partie, et probablement la plus utile dès demain matin pour beaucoup d'entre vous : arrêter de recopier un document à la main pour le faire analyser par Claude."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1A1323"/>
                <w:sz w:val="20"/>
                <w:szCs w:val="20"/>
              </w:rPr>
              <w:t xml:space="preserve">13 — Extraction structurée d'un document</w:t>
            </w:r>
          </w:p>
        </w:tc>
        <w:tc>
          <w:tcPr>
            <w:tcW w:type="dxa" w:w="8064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323"/>
                <w:sz w:val="21"/>
                <w:szCs w:val="21"/>
              </w:rPr>
              <w:t xml:space="preserve">Insister sur l'ordre des 3 puces, pas seulement leur contenu : uploader le fichier entier (jamais un extrait recopié à la main), demander une extraction structurée précise (pas "résume-moi ça"), puis vérifier. Marquer un vrai temps d'arrêt sur l'encadré : "Claude lit vite, mais c'est vous qui validez les chiffres qui comptent — ce n'est pas négociable sur un contrat ou une facture."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DF3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1A1323"/>
                <w:sz w:val="20"/>
                <w:szCs w:val="20"/>
              </w:rPr>
              <w:t xml:space="preserve">14 — Livrable (badge)</w:t>
            </w:r>
          </w:p>
        </w:tc>
        <w:tc>
          <w:tcPr>
            <w:tcW w:type="dxa" w:w="8064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DF3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323"/>
                <w:sz w:val="21"/>
                <w:szCs w:val="21"/>
              </w:rPr>
              <w:t xml:space="preserve">Nommer explicitement ce qui est barré et ce qui le remplace, en pointant le badge : "Sans méthode, c'est un prompt différent réinventé chaque fois. Avec la méthode, c'est une bibliothèque de 15 prompts C.L.A.R.T.É qui ne vieillit pas — c'est ça, votre livrable de ce soir."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1A1323"/>
                <w:sz w:val="20"/>
                <w:szCs w:val="20"/>
              </w:rPr>
              <w:t xml:space="preserve">15 — Clôture / CTA</w:t>
            </w:r>
          </w:p>
        </w:tc>
        <w:tc>
          <w:tcPr>
            <w:tcW w:type="dxa" w:w="8064"/>
            <w:tcBorders>
              <w:top w:val="single" w:color="C9C2D1" w:sz="2"/>
              <w:left w:val="single" w:color="C9C2D1" w:sz="2"/>
              <w:bottom w:val="single" w:color="C9C2D1" w:sz="2"/>
              <w:right w:val="single" w:color="C9C2D1" w:sz="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323"/>
                <w:sz w:val="21"/>
                <w:szCs w:val="21"/>
              </w:rPr>
              <w:t xml:space="preserve">Dérouler le script de clôture de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1323"/>
                <w:sz w:val="21"/>
                <w:szCs w:val="21"/>
              </w:rPr>
              <w:t xml:space="preserve">run-of-show-session-2.md</w:t>
            </w:r>
            <w:r>
              <w:rPr>
                <w:rFonts w:ascii="Poppins" w:cs="Poppins" w:eastAsia="Poppins" w:hAnsi="Poppins"/>
                <w:b w:val="false"/>
                <w:bCs w:val="false"/>
                <w:color w:val="1A1323"/>
                <w:sz w:val="21"/>
                <w:szCs w:val="21"/>
              </w:rPr>
              <w:t xml:space="preserve">, ne pas improviser un résumé différent ici.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oppins" w:cs="Poppins" w:eastAsia="Poppins" w:hAnsi="Poppins"/>
        <w:color w:val="6B6470"/>
        <w:sz w:val="16"/>
        <w:szCs w:val="16"/>
      </w:rPr>
      <w:t xml:space="preserve">Notes présentateur — usage interne animateur — page </w:t>
    </w:r>
    <w:r>
      <w:rPr>
        <w:rFonts w:ascii="Poppins" w:cs="Poppins" w:eastAsia="Poppins" w:hAnsi="Poppins"/>
        <w:color w:val="6B64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Poppins" w:cs="Poppins" w:eastAsia="Poppins" w:hAnsi="Poppins"/>
        <w:color w:val="6B6470"/>
        <w:sz w:val="16"/>
        <w:szCs w:val="16"/>
      </w:rPr>
      <w:t xml:space="preserve"> / </w:t>
    </w:r>
    <w:r>
      <w:rPr>
        <w:rFonts w:ascii="Poppins" w:cs="Poppins" w:eastAsia="Poppins" w:hAnsi="Poppins"/>
        <w:color w:val="6B647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6840" w:sz="4"/>
      </w:pBdr>
      <w:spacing w:after="100"/>
      <w:jc w:val="right"/>
    </w:pPr>
    <w:r>
      <w:rPr>
        <w:rFonts w:ascii="Poppins" w:cs="Poppins" w:eastAsia="Poppins" w:hAnsi="Poppins"/>
        <w:i/>
        <w:iCs/>
        <w:color w:val="6B6470"/>
        <w:sz w:val="16"/>
        <w:szCs w:val="16"/>
      </w:rPr>
      <w:t xml:space="preserve">Claude AI Mastery 2.0 — Kit animateur — Module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color w:val="1A132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2026-08-11T22:51:45.277Z</dcterms:created>
  <dcterms:modified xsi:type="dcterms:W3CDTF">2026-08-11T22:51:45.277Z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