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Poppins" w:cs="Poppins" w:eastAsia="Poppins" w:hAnsi="Poppins"/>
          <w:b/>
          <w:bCs/>
          <w:color w:val="7530AA"/>
          <w:sz w:val="34"/>
          <w:szCs w:val="34"/>
        </w:rPr>
        <w:t xml:space="preserve">Notes présentateur — Module 3 — Transformer Claude en Data Analyst personnel</w:t>
      </w:r>
    </w:p>
    <w:p>
      <w:pPr>
        <w:spacing w:after="220"/>
      </w:pPr>
      <w:r>
        <w:rPr>
          <w:rFonts w:ascii="Poppins" w:cs="Poppins" w:eastAsia="Poppins" w:hAnsi="Poppins"/>
          <w:b w:val="false"/>
          <w:bCs w:val="false"/>
          <w:color w:val="1A1323"/>
          <w:sz w:val="20"/>
          <w:szCs w:val="20"/>
        </w:rPr>
        <w:t xml:space="preserve">Numérotation alignée sur </w:t>
      </w:r>
      <w:r>
        <w:rPr>
          <w:rFonts w:ascii="Courier New" w:cs="Courier New" w:eastAsia="Courier New" w:hAnsi="Courier New"/>
          <w:b w:val="false"/>
          <w:bCs w:val="false"/>
          <w:color w:val="1A1323"/>
          <w:sz w:val="20"/>
          <w:szCs w:val="20"/>
        </w:rPr>
        <w:t xml:space="preserve">modules/module-3-data-analyst/03-support-slides.md</w:t>
      </w:r>
      <w:r>
        <w:rPr>
          <w:rFonts w:ascii="Poppins" w:cs="Poppins" w:eastAsia="Poppins" w:hAnsi="Poppins"/>
          <w:b w:val="false"/>
          <w:bCs w:val="false"/>
          <w:color w:val="1A1323"/>
          <w:sz w:val="20"/>
          <w:szCs w:val="20"/>
        </w:rPr>
        <w:t xml:space="preserve">. Le script d'ouverture/clôture mot à mot est dans </w:t>
      </w:r>
      <w:r>
        <w:rPr>
          <w:rFonts w:ascii="Courier New" w:cs="Courier New" w:eastAsia="Courier New" w:hAnsi="Courier New"/>
          <w:b w:val="false"/>
          <w:bCs w:val="false"/>
          <w:color w:val="1A1323"/>
          <w:sz w:val="20"/>
          <w:szCs w:val="20"/>
        </w:rPr>
        <w:t xml:space="preserve">kit-animateur/run-of-show-session-3.md</w:t>
      </w:r>
      <w:r>
        <w:rPr>
          <w:rFonts w:ascii="Poppins" w:cs="Poppins" w:eastAsia="Poppins" w:hAnsi="Poppins"/>
          <w:b w:val="false"/>
          <w:bCs w:val="false"/>
          <w:color w:val="1A1323"/>
          <w:sz w:val="20"/>
          <w:szCs w:val="20"/>
        </w:rPr>
        <w:t xml:space="preserve"> — ce fichier couvre les slides intermédiaires, pas répétées 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6"/>
        <w:gridCol w:w="8064"/>
      </w:tblGrid>
      <w:tr>
        <w:trPr>
          <w:cantSplit/>
          <w:tblHeader/>
        </w:trPr>
        <w:tc>
          <w:tcPr>
            <w:tcW w:type="dxa" w:w="1296"/>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Slide</w:t>
            </w:r>
          </w:p>
        </w:tc>
        <w:tc>
          <w:tcPr>
            <w:tcW w:type="dxa" w:w="8064"/>
            <w:tcBorders>
              <w:top w:val="single" w:color="C9C2D1" w:sz="2"/>
              <w:left w:val="single" w:color="C9C2D1" w:sz="2"/>
              <w:bottom w:val="single" w:color="C9C2D1" w:sz="2"/>
              <w:right w:val="single" w:color="C9C2D1" w:sz="2"/>
            </w:tcBorders>
            <w:shd w:fill="EDE0F5" w:color="auto" w:val="clear"/>
            <w:tcMar>
              <w:top w:type="dxa" w:w="100"/>
              <w:left w:type="dxa" w:w="120"/>
              <w:bottom w:type="dxa" w:w="100"/>
              <w:right w:type="dxa" w:w="120"/>
            </w:tcMar>
            <w:vAlign w:val="center"/>
          </w:tcPr>
          <w:p>
            <w:r>
              <w:rPr>
                <w:rFonts w:ascii="Poppins" w:cs="Poppins" w:eastAsia="Poppins" w:hAnsi="Poppins"/>
                <w:b/>
                <w:bCs/>
                <w:color w:val="7530AA"/>
                <w:sz w:val="21"/>
                <w:szCs w:val="21"/>
              </w:rPr>
              <w:t xml:space="preserve">Ce qu'il faut dire (pas seulement montrer)</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 — Titre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Laisser la slide 5-10 secondes en silence pendant que les derniers participants arrivent, puis dérouler le script d'ouverture de </w:t>
            </w:r>
            <w:r>
              <w:rPr>
                <w:rFonts w:ascii="Courier New" w:cs="Courier New" w:eastAsia="Courier New" w:hAnsi="Courier New"/>
                <w:b w:val="false"/>
                <w:bCs w:val="false"/>
                <w:color w:val="1A1323"/>
                <w:sz w:val="21"/>
                <w:szCs w:val="21"/>
              </w:rPr>
              <w:t xml:space="preserve">run-of-show-session-3.md</w:t>
            </w:r>
            <w:r>
              <w:rPr>
                <w:rFonts w:ascii="Poppins" w:cs="Poppins" w:eastAsia="Poppins" w:hAnsi="Poppins"/>
                <w:b w:val="false"/>
                <w:bCs w:val="false"/>
                <w:color w:val="1A1323"/>
                <w:sz w:val="21"/>
                <w:szCs w:val="21"/>
              </w:rPr>
              <w:t xml:space="preserve">.</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2 — Section "Rappel M1/M2 + contexte DELTA"</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"Fatou a son environnement Claude Code configuré depuis le Module 1, sa bibliothèque de prompts C.L.A.R.T.É depuis le Module 2. Ce soir, le fichier qu'elle attendait depuis la réunion du 15 août arrive enfin dans sa boîte mail." Ne pas s'attarder — cette slide sert de tremplin, pas de résumé complet.</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3 — Le raisonnement d'un data analyst</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Ne pas lire les 4 puces comme une check-list neutre — donner un contre-exemple concret pour la première étape : "on peut calculer une moyenne parfaitement juste et répondre quand même à côté de la vraie question, si la vraie question portait sur un mois précis et pas sur toute l'année." Marquer un temps sur l'encadré : "la question vient toujours avant l'outil — retenez cette phrase, elle va revenir plusieurs fois ce soir."</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4 — Une boîte à outils, pas une hiérarchie</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Désamorcer explicitement la peur ici, avant même la démo : "personne dans cette salle n'écrira une ligne de SQL ou de Python seul ce soir. Excel ou Sheets, que vous connaissez déjà, suffit pour 80 % de ce qu'on va faire." Insister sur l'encadré : "Claude les manie, vous les comprenez" — c'est la promesse du module, pas une nuance secondaire.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5 — Citation Fatou (copier-coller de colonnes)</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Ton posé, presque anecdotique, en callback direct au Module 1 : "Vous vous souvenez de cette image ? Fatou qui copie-colle des colonnes une par une pendant que Claude tourne dans l'onglet à côté. C'est exactement ce qu'on arrête de faire ce soir, avec un vrai fichier, pas un exemple simplifié."</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6 — Section "Partie 1/4 — Nettoyer"</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"5 défauts typiques, une seule méthode reproductible. Regardez bien : je ne vais rien corriger à la main." Enchaîner directement sur la démo du sous-bloc A.</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7 — Les 5 défauts à toujours vérifier</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Nommer les 5 défauts à voix haute en les comptant, pas seulement en les lisant : doublons, valeurs manquantes, formats de région, dates mélangées, valeurs aberrantes. Marquer un vrai temps d'arrêt sur l'encadré : "ne jamais nettoyer à l'œil — un participant qui corrige 3 lignes visibles et déclare le fichier propre va rater au moins deux des cinq défauts."</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8 — Section "Partie 2/4 — Excel/Sheets"</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"Le tableau croisé dynamique expliqué, pas juste produit — c'est la nuance qui compte ici." Enchaîner sur la démo du sous-bloc B.</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9 — Tableau croisé dynamique DELTA</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Marquer un vrai temps d'arrêt sur la capture à l'écran avant de commenter : pointer directement la ligne Nord et dire les chiffres à voix haute ("2 876 unités en moyenne en période normale, contre 1 071 pendant mars-avril-mai — une baisse de 63 %"). Laisser 3-4 secondes de silence après avoir montré la chute, avant l'encadré.</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10 — Section "Partie 3/4 — SQL et pandas"</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Baisser légèrement le rythme et désamorcer à nouveau : "vous ne les écrivez pas seul ce soir — vous apprenez à les lire, pour ne jamais dépendre à 100 % de quelqu'un d'autre le jour où on vous montre une requête."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11 — Une requête SQL, expliquée ligne par ligne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Lire l'extrait de code à voix haute clause par clause en pointant chacune (</w:t>
            </w:r>
            <w:r>
              <w:rPr>
                <w:rFonts w:ascii="Courier New" w:cs="Courier New" w:eastAsia="Courier New" w:hAnsi="Courier New"/>
                <w:b w:val="false"/>
                <w:bCs w:val="false"/>
                <w:color w:val="1A1323"/>
                <w:sz w:val="21"/>
                <w:szCs w:val="21"/>
              </w:rPr>
              <w:t xml:space="preserve">SELECT</w:t>
            </w:r>
            <w:r>
              <w:rPr>
                <w:rFonts w:ascii="Poppins" w:cs="Poppins" w:eastAsia="Poppins" w:hAnsi="Poppins"/>
                <w:b w:val="false"/>
                <w:bCs w:val="false"/>
                <w:color w:val="1A1323"/>
                <w:sz w:val="21"/>
                <w:szCs w:val="21"/>
              </w:rPr>
              <w:t xml:space="preserve">, </w:t>
            </w:r>
            <w:r>
              <w:rPr>
                <w:rFonts w:ascii="Courier New" w:cs="Courier New" w:eastAsia="Courier New" w:hAnsi="Courier New"/>
                <w:b w:val="false"/>
                <w:bCs w:val="false"/>
                <w:color w:val="1A1323"/>
                <w:sz w:val="21"/>
                <w:szCs w:val="21"/>
              </w:rPr>
              <w:t xml:space="preserve">FROM</w:t>
            </w:r>
            <w:r>
              <w:rPr>
                <w:rFonts w:ascii="Poppins" w:cs="Poppins" w:eastAsia="Poppins" w:hAnsi="Poppins"/>
                <w:b w:val="false"/>
                <w:bCs w:val="false"/>
                <w:color w:val="1A1323"/>
                <w:sz w:val="21"/>
                <w:szCs w:val="21"/>
              </w:rPr>
              <w:t xml:space="preserve">, </w:t>
            </w:r>
            <w:r>
              <w:rPr>
                <w:rFonts w:ascii="Courier New" w:cs="Courier New" w:eastAsia="Courier New" w:hAnsi="Courier New"/>
                <w:b w:val="false"/>
                <w:bCs w:val="false"/>
                <w:color w:val="1A1323"/>
                <w:sz w:val="21"/>
                <w:szCs w:val="21"/>
              </w:rPr>
              <w:t xml:space="preserve">WHERE</w:t>
            </w:r>
            <w:r>
              <w:rPr>
                <w:rFonts w:ascii="Poppins" w:cs="Poppins" w:eastAsia="Poppins" w:hAnsi="Poppins"/>
                <w:b w:val="false"/>
                <w:bCs w:val="false"/>
                <w:color w:val="1A1323"/>
                <w:sz w:val="21"/>
                <w:szCs w:val="21"/>
              </w:rPr>
              <w:t xml:space="preserve">, </w:t>
            </w:r>
            <w:r>
              <w:rPr>
                <w:rFonts w:ascii="Courier New" w:cs="Courier New" w:eastAsia="Courier New" w:hAnsi="Courier New"/>
                <w:b w:val="false"/>
                <w:bCs w:val="false"/>
                <w:color w:val="1A1323"/>
                <w:sz w:val="21"/>
                <w:szCs w:val="21"/>
              </w:rPr>
              <w:t xml:space="preserve">GROUP BY</w:t>
            </w:r>
            <w:r>
              <w:rPr>
                <w:rFonts w:ascii="Poppins" w:cs="Poppins" w:eastAsia="Poppins" w:hAnsi="Poppins"/>
                <w:b w:val="false"/>
                <w:bCs w:val="false"/>
                <w:color w:val="1A1323"/>
                <w:sz w:val="21"/>
                <w:szCs w:val="21"/>
              </w:rPr>
              <w:t xml:space="preserve">) — ne pas paraphraser toute la requête d'un bloc. Faire le lien explicite avec la slide 9 : "c'est exactement la même question que le tableau croisé dynamique, posée dans un langage différent."</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12 — Python/pandas : le niveau 2 optionnel</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Ton volontairement plus léger, pour ne pas raviver la peur désamorcée en slide 4 : "ce n'est pas un niveau que je vous demande d'atteindre ce soir — c'est une porte que vous savez maintenant ouvrir, le jour où un fichier devient trop gros pour Excel." Mentionner R en une seule phrase, sans s'y arrêter davantage que la slide ne le prévoit.</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13 — Section "Partie 4/4 — Visualiser"</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"Le bon graphique pour la bonne question — jamais le graphique le plus joli." Enchaîner sur la démo du sous-bloc E.</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14 — Quel graphique pour quelle question ?</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Passer les 3 lignes du tableau en donnant chaque fois un exemple DELTA concret (évolution → courbe des ventes Nord ; comparaison → barres des canaux de vente ; répartition → camembert, avec la mise en garde des 5 parts maximum). Insister sur l'encadré : "demandez toujours à Claude de justifier son choix de graphique, pas seulement de le produire."</w:t>
            </w:r>
          </w:p>
        </w:tc>
      </w:tr>
      <w:tr>
        <w:trPr>
          <w:cantSplit/>
        </w:trPr>
        <w:tc>
          <w:tcPr>
            <w:tcW w:type="dxa" w:w="1296"/>
            <w:tcBorders>
              <w:top w:val="single" w:color="C9C2D1" w:sz="2"/>
              <w:left w:val="single" w:color="C9C2D1" w:sz="2"/>
              <w:bottom w:val="single" w:color="C9C2D1" w:sz="2"/>
              <w:right w:val="single" w:color="C9C2D1" w:sz="2"/>
            </w:tcBorders>
            <w:shd w:fill="FFFFFF"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15 — Livrable (badge)</w:t>
            </w:r>
          </w:p>
        </w:tc>
        <w:tc>
          <w:tcPr>
            <w:tcW w:type="dxa" w:w="8064"/>
            <w:tcBorders>
              <w:top w:val="single" w:color="C9C2D1" w:sz="2"/>
              <w:left w:val="single" w:color="C9C2D1" w:sz="2"/>
              <w:bottom w:val="single" w:color="C9C2D1" w:sz="2"/>
              <w:right w:val="single" w:color="C9C2D1" w:sz="2"/>
            </w:tcBorders>
            <w:shd w:fill="FFFFFF"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Nommer explicitement les 3 éléments du livrable à voix haute en pointant le badge : "un fichier nettoyé, 3 insights chiffrés, une visualisation — c'est ça, votre projet d'analyse complet, pas juste un fichier sale jamais exploité."</w:t>
            </w:r>
          </w:p>
        </w:tc>
      </w:tr>
      <w:tr>
        <w:trPr>
          <w:cantSplit/>
        </w:trPr>
        <w:tc>
          <w:tcPr>
            <w:tcW w:type="dxa" w:w="1296"/>
            <w:tcBorders>
              <w:top w:val="single" w:color="C9C2D1" w:sz="2"/>
              <w:left w:val="single" w:color="C9C2D1" w:sz="2"/>
              <w:bottom w:val="single" w:color="C9C2D1" w:sz="2"/>
              <w:right w:val="single" w:color="C9C2D1" w:sz="2"/>
            </w:tcBorders>
            <w:shd w:fill="FDF3F0" w:color="auto" w:val="clear"/>
            <w:tcMar>
              <w:top w:type="dxa" w:w="100"/>
              <w:left w:type="dxa" w:w="120"/>
              <w:bottom w:type="dxa" w:w="100"/>
              <w:right w:type="dxa" w:w="120"/>
            </w:tcMar>
            <w:vAlign w:val="center"/>
          </w:tcPr>
          <w:p>
            <w:r>
              <w:rPr>
                <w:rFonts w:ascii="Poppins" w:cs="Poppins" w:eastAsia="Poppins" w:hAnsi="Poppins"/>
                <w:b/>
                <w:bCs/>
                <w:color w:val="1A1323"/>
                <w:sz w:val="20"/>
                <w:szCs w:val="20"/>
              </w:rPr>
              <w:t xml:space="preserve">16 — Clôture / CTA</w:t>
            </w:r>
          </w:p>
        </w:tc>
        <w:tc>
          <w:tcPr>
            <w:tcW w:type="dxa" w:w="8064"/>
            <w:tcBorders>
              <w:top w:val="single" w:color="C9C2D1" w:sz="2"/>
              <w:left w:val="single" w:color="C9C2D1" w:sz="2"/>
              <w:bottom w:val="single" w:color="C9C2D1" w:sz="2"/>
              <w:right w:val="single" w:color="C9C2D1" w:sz="2"/>
            </w:tcBorders>
            <w:shd w:fill="FDF3F0" w:color="auto" w:val="clear"/>
            <w:tcMar>
              <w:top w:type="dxa" w:w="100"/>
              <w:left w:type="dxa" w:w="140"/>
              <w:bottom w:type="dxa" w:w="100"/>
              <w:right w:type="dxa" w:w="140"/>
            </w:tcMar>
            <w:vAlign w:val="center"/>
          </w:tcPr>
          <w:p>
            <w:r>
              <w:rPr>
                <w:rFonts w:ascii="Poppins" w:cs="Poppins" w:eastAsia="Poppins" w:hAnsi="Poppins"/>
                <w:b w:val="false"/>
                <w:bCs w:val="false"/>
                <w:color w:val="1A1323"/>
                <w:sz w:val="21"/>
                <w:szCs w:val="21"/>
              </w:rPr>
              <w:t xml:space="preserve">Dérouler le script de clôture de </w:t>
            </w:r>
            <w:r>
              <w:rPr>
                <w:rFonts w:ascii="Courier New" w:cs="Courier New" w:eastAsia="Courier New" w:hAnsi="Courier New"/>
                <w:b w:val="false"/>
                <w:bCs w:val="false"/>
                <w:color w:val="1A1323"/>
                <w:sz w:val="21"/>
                <w:szCs w:val="21"/>
              </w:rPr>
              <w:t xml:space="preserve">run-of-show-session-3.md</w:t>
            </w:r>
            <w:r>
              <w:rPr>
                <w:rFonts w:ascii="Poppins" w:cs="Poppins" w:eastAsia="Poppins" w:hAnsi="Poppins"/>
                <w:b w:val="false"/>
                <w:bCs w:val="false"/>
                <w:color w:val="1A1323"/>
                <w:sz w:val="21"/>
                <w:szCs w:val="21"/>
              </w:rPr>
              <w:t xml:space="preserve">, ne pas improviser un résumé différent ici.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6470"/>
        <w:sz w:val="16"/>
        <w:szCs w:val="16"/>
      </w:rPr>
      <w:t xml:space="preserve">Notes présentateur — usage interne animateur — page </w:t>
    </w:r>
    <w:r>
      <w:rPr>
        <w:rFonts w:ascii="Poppins" w:cs="Poppins" w:eastAsia="Poppins" w:hAnsi="Poppins"/>
        <w:color w:val="6B6470"/>
        <w:sz w:val="16"/>
        <w:szCs w:val="16"/>
      </w:rPr>
      <w:fldChar w:fldCharType="begin"/>
      <w:instrText xml:space="preserve">PAGE</w:instrText>
      <w:fldChar w:fldCharType="separate"/>
      <w:fldChar w:fldCharType="end"/>
    </w:r>
    <w:r>
      <w:rPr>
        <w:rFonts w:ascii="Poppins" w:cs="Poppins" w:eastAsia="Poppins" w:hAnsi="Poppins"/>
        <w:color w:val="6B6470"/>
        <w:sz w:val="16"/>
        <w:szCs w:val="16"/>
      </w:rPr>
      <w:t xml:space="preserve"> / </w:t>
    </w:r>
    <w:r>
      <w:rPr>
        <w:rFonts w:ascii="Poppins" w:cs="Poppins" w:eastAsia="Poppins" w:hAnsi="Poppins"/>
        <w:color w:val="6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pBdr>
      <w:spacing w:after="100"/>
      <w:jc w:val="right"/>
    </w:pPr>
    <w:r>
      <w:rPr>
        <w:rFonts w:ascii="Poppins" w:cs="Poppins" w:eastAsia="Poppins" w:hAnsi="Poppins"/>
        <w:i/>
        <w:iCs/>
        <w:color w:val="6B6470"/>
        <w:sz w:val="16"/>
        <w:szCs w:val="16"/>
      </w:rPr>
      <w:t xml:space="preserve">Claude AI Mastery 2.0 — Kit animateur —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A1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2026-08-11T22:51:45.293Z</dcterms:created>
  <dcterms:modified xsi:type="dcterms:W3CDTF">2026-08-11T22:51:45.293Z</dcterms:modified>
</cp:coreProperties>
</file>

<file path=docProps/custom.xml><?xml version="1.0" encoding="utf-8"?>
<Properties xmlns="http://schemas.openxmlformats.org/officeDocument/2006/custom-properties" xmlns:vt="http://schemas.openxmlformats.org/officeDocument/2006/docPropsVTypes"/>
</file>