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Poppins" w:cs="Poppins" w:eastAsia="Poppins" w:hAnsi="Poppins"/>
          <w:b/>
          <w:bCs/>
          <w:color w:val="7530AA"/>
          <w:sz w:val="34"/>
          <w:szCs w:val="34"/>
        </w:rPr>
        <w:t xml:space="preserve">Notes présentateur — Module 4 — Créer des solutions numériques avec Claude Code</w:t>
      </w:r>
    </w:p>
    <w:p>
      <w:pPr>
        <w:spacing w:after="220"/>
      </w:pP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Numérotation alignée sur </w:t>
      </w:r>
      <w:r>
        <w:rPr>
          <w:rFonts w:ascii="Courier New" w:cs="Courier New" w:eastAsia="Courier New" w:hAnsi="Courier New"/>
          <w:b w:val="false"/>
          <w:bCs w:val="false"/>
          <w:color w:val="1A1323"/>
          <w:sz w:val="20"/>
          <w:szCs w:val="20"/>
        </w:rPr>
        <w:t xml:space="preserve">modules/module-4-solutions-numeriques/03-support-slides.md</w:t>
      </w: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. Le script d'ouverture/clôture mot à mot est dans </w:t>
      </w:r>
      <w:r>
        <w:rPr>
          <w:rFonts w:ascii="Courier New" w:cs="Courier New" w:eastAsia="Courier New" w:hAnsi="Courier New"/>
          <w:b w:val="false"/>
          <w:bCs w:val="false"/>
          <w:color w:val="1A1323"/>
          <w:sz w:val="20"/>
          <w:szCs w:val="20"/>
        </w:rPr>
        <w:t xml:space="preserve">kit-animateur/run-of-show-session-4.md</w:t>
      </w: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 — ce fichier couvre les slides intermédiaires, pas répétées ici.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8064"/>
      </w:tblGrid>
      <w:tr>
        <w:trPr>
          <w:cantSplit/>
          <w:tblHeader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EDE0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7530AA"/>
                <w:sz w:val="21"/>
                <w:szCs w:val="21"/>
              </w:rPr>
              <w:t xml:space="preserve">Slide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EDE0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7530AA"/>
                <w:sz w:val="21"/>
                <w:szCs w:val="21"/>
              </w:rPr>
              <w:t xml:space="preserve">Ce qu'il faut dire (pas seulement montrer)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 — Titre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Laisser la slide 5-10 secondes en silence pendant que les derniers participants arrivent, puis dérouler le script d'ouverture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run-of-show-session-4.md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 (le callback DELTA Distribution/Module 3).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2 — Section "Partie 1/5"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"Dans les trois premiers modules, vous avez toujours demandé UN fichier à Claude — un compte-rendu, un notebook, un tableau nettoyé. Ce soir on change d'échelle : on va demander un projet, plusieurs fichiers qui travaillent ensemble. Et la seule chose qui décide si ça marche du premier coup, c'est la qualité de ce qu'on décrit au départ."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3 — 4 éléments d'une bonne description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Commenter chaque puce avec l'exemple de Fatou déjà sur la slide, sans le relire mot pour mot — insister sur "les données disponibles" : "c'est la puce que tout le monde oublie, et c'est celle qui fait que Claude Code invente une structure qui ne correspond à rien de réel." Terminer sur l'encadré "À retenir" en le lisant lentement, une seule fois.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4 — Citation Fatou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Ton posé, presque anecdotique : "Un fichier Excel envoyé en espérant qu'il soit ouvert, contre un lien envoyé en sachant qu'il le sera. C'est tout l'enjeu de la session, dans une phrase."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5 — Section "Partie 2/5"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"Les données que je vais utiliser là, ce ne sont pas des données inventées pour l'exemple — c'est exactement le fichier que Fatou a nettoyé au Module 3. Ce qui change, c'est qu'on ne va plus les lire dans un tableau, on va les voir."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6 — 4 blocs du dashboard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Nommer les 4 blocs en les pointant un par un, pas en les lisant en bloc : indicateurs, alerte Nord, évolution mensuelle, répartition par canal. Sur l'encadré "À retenir", ralentir : "Ce dashboard ne fait que confirmer avec des chiffres ce que le client de Fatou avait déjà remarqué à l'oreille en réunion — c'est ça, la valeur d'une donnée bien restituée." Enchaîner directement sur le sous-bloc A de la démo.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7 — Section "Partie 3/5"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"On change complètement d'objectif ici. Le dashboard restitue une donnée qui existe déjà. La page vitrine, elle, doit convaincre quelqu'un qui ne connaît pas encore Fatou de la contacter."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8 — Structure qui convertit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Lire la liste comme une checklist qu'on cochera plus tard : en-tête, problème, offre, preuve, tarif, appel à l'action. Insister sur l'encadré : "Zéro jargon technique visible — si votre client lit le mot 'API' sur votre page, vous avez déjà perdu son attention."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9 — Section "Partie 4/5"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Baisser le rythme, ton presque solennel : "C'est la partie la plus importante de la soirée, pas techniquement, mais pour votre confiance. Une erreur qui s'affiche à l'écran n'est pas un jugement sur vous. C'est une étape normale, avec une méthode."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10 — 4 étapes avant de corriger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Détacher chaque étape avec une micro-pause : "Lire l'erreur en entier... demander un diagnostic, pas une correction... vérifier l'hypothèse vous-même quand c'est simple... corriger de façon ciblée, puis vérifier le fond." Sur l'encadré : "'Ça ne marche toujours pas', répété sans nouvelle information, c'est une boucle sans fin — Claude Code ne peut pas deviner ce qu'il ne voit pas."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11 — Le bug de l'exercice, en direct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Pointer la ligne de code affichée, puis le message d'erreur juste en dessous, sans les paraphraser : laisser le silence faire l'effet. Puis : "Retenez juste ce nom 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montant_total_fcfa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. C'est exactement le bug que vous allez rencontrer dans dix minutes dans votre propre exercice — je vais le provoquer devant vous tout de suite." Bascule immédiate vers le sous-bloc B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05-demo-commentee.md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12 — Section "Partie 5/5"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"Dernière étape, et c'est celle que tout le monde a tendance à sauter parce qu'elle semble administrative. Sauf qu'un projet qui ne tourne que sur votre machine n'est un livrable pour personne d'autre que vous."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13 — Un lien, pas un fichier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Nommer les deux chemins selon le type de projet (Streamlit Community Cloud pour un dashboard, Netlify/Vercel/GitHub Pages pour un site) sans détailler les étapes — elles arrivent dans la démo. Sur l'encadré : "Gratuit, réversible, sans risque pour votre machine — la peur de 'casser' quelque chose en déployant n'a pas lieu d'être." Si la question "pourquoi pas juste envoyer le fichier ?" arrive dans le chat, elle est déjà anticipée : un lien reste à jour, un fichier envoyé par email ne l'est plus dès le mois suivant.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14 — Livrable (badge)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Nommer explicitement les deux images à voix haute en pointant le badge : "Avant : un fichier Excel envoyé par email, jamais rouvert. Après : une application ou un site déployé, accessible par un lien. C'est ce basculement-là que vous devez avoir fait avant mercredi."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15 — Clôture / CTA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Dérouler le script de clôture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run-of-show-session-4.md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 (défi, Section 4 du Portfolio, teaser Module 5), ne pas improviser un résumé différent ici.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6470"/>
        <w:sz w:val="16"/>
        <w:szCs w:val="16"/>
      </w:rPr>
      <w:t xml:space="preserve">Notes présentateur — usage interne animateur — page </w:t>
    </w:r>
    <w:r>
      <w:rPr>
        <w:rFonts w:ascii="Poppins" w:cs="Poppins" w:eastAsia="Poppins" w:hAnsi="Poppins"/>
        <w:color w:val="6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6B6470"/>
        <w:sz w:val="16"/>
        <w:szCs w:val="16"/>
      </w:rPr>
      <w:t xml:space="preserve"> / </w:t>
    </w:r>
    <w:r>
      <w:rPr>
        <w:rFonts w:ascii="Poppins" w:cs="Poppins" w:eastAsia="Poppins" w:hAnsi="Poppins"/>
        <w:color w:val="6B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6840" w:sz="4"/>
      </w:pBdr>
      <w:spacing w:after="100"/>
      <w:jc w:val="right"/>
    </w:pPr>
    <w:r>
      <w:rPr>
        <w:rFonts w:ascii="Poppins" w:cs="Poppins" w:eastAsia="Poppins" w:hAnsi="Poppins"/>
        <w:i/>
        <w:iCs/>
        <w:color w:val="6B6470"/>
        <w:sz w:val="16"/>
        <w:szCs w:val="16"/>
      </w:rPr>
      <w:t xml:space="preserve">Claude AI Mastery 2.0 — Kit animateur — Module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3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2026-08-11T22:51:45.309Z</dcterms:created>
  <dcterms:modified xsi:type="dcterms:W3CDTF">2026-08-11T22:51:45.309Z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