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Poppins" w:cs="Poppins" w:eastAsia="Poppins" w:hAnsi="Poppins"/>
          <w:b/>
          <w:bCs/>
          <w:color w:val="7530AA"/>
          <w:sz w:val="34"/>
          <w:szCs w:val="34"/>
        </w:rPr>
        <w:t xml:space="preserve">Notes présentateur — Module 6 — Transformer ses compétences IA en opportunités</w:t>
      </w:r>
    </w:p>
    <w:p>
      <w:pPr>
        <w:spacing w:after="220"/>
      </w:pPr>
      <w:r>
        <w:rPr>
          <w:rFonts w:ascii="Poppins" w:cs="Poppins" w:eastAsia="Poppins" w:hAnsi="Poppins"/>
          <w:b w:val="false"/>
          <w:bCs w:val="false"/>
          <w:color w:val="1A1323"/>
          <w:sz w:val="20"/>
          <w:szCs w:val="20"/>
        </w:rPr>
        <w:t xml:space="preserve">Numérotation alignée sur </w:t>
      </w:r>
      <w:r>
        <w:rPr>
          <w:rFonts w:ascii="Courier New" w:cs="Courier New" w:eastAsia="Courier New" w:hAnsi="Courier New"/>
          <w:b w:val="false"/>
          <w:bCs w:val="false"/>
          <w:color w:val="1A1323"/>
          <w:sz w:val="20"/>
          <w:szCs w:val="20"/>
        </w:rPr>
        <w:t xml:space="preserve">modules/module-6-monetisation/03-support-slides.md</w:t>
      </w:r>
      <w:r>
        <w:rPr>
          <w:rFonts w:ascii="Poppins" w:cs="Poppins" w:eastAsia="Poppins" w:hAnsi="Poppins"/>
          <w:b w:val="false"/>
          <w:bCs w:val="false"/>
          <w:color w:val="1A1323"/>
          <w:sz w:val="20"/>
          <w:szCs w:val="20"/>
        </w:rPr>
        <w:t xml:space="preserve">. Le script d'ouverture/clôture mot à mot est dans </w:t>
      </w:r>
      <w:r>
        <w:rPr>
          <w:rFonts w:ascii="Courier New" w:cs="Courier New" w:eastAsia="Courier New" w:hAnsi="Courier New"/>
          <w:b w:val="false"/>
          <w:bCs w:val="false"/>
          <w:color w:val="1A1323"/>
          <w:sz w:val="20"/>
          <w:szCs w:val="20"/>
        </w:rPr>
        <w:t xml:space="preserve">kit-animateur/run-of-show-session-6.md</w:t>
      </w:r>
      <w:r>
        <w:rPr>
          <w:rFonts w:ascii="Poppins" w:cs="Poppins" w:eastAsia="Poppins" w:hAnsi="Poppins"/>
          <w:b w:val="false"/>
          <w:bCs w:val="false"/>
          <w:color w:val="1A1323"/>
          <w:sz w:val="20"/>
          <w:szCs w:val="20"/>
        </w:rPr>
        <w:t xml:space="preserve"> — ce fichier couvre les slides intermédiaires, pas répétées ici. C'est la dernière session de la cohorte : le ton général doit rester plus posé et plus appuyé sur le callback narratif que sur les modules précédents, y compris sur des slides qui, aux Modules 2 à 5, ne portaient qu'une transition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6"/>
        <w:gridCol w:w="8064"/>
      </w:tblGrid>
      <w:tr>
        <w:trPr>
          <w:cantSplit/>
          <w:tblHeader/>
        </w:trPr>
        <w:tc>
          <w:tcPr>
            <w:tcW w:type="dxa" w:w="1296"/>
            <w:tcBorders>
              <w:top w:val="single" w:color="C9C2D1" w:sz="2"/>
              <w:left w:val="single" w:color="C9C2D1" w:sz="2"/>
              <w:bottom w:val="single" w:color="C9C2D1" w:sz="2"/>
              <w:right w:val="single" w:color="C9C2D1" w:sz="2"/>
            </w:tcBorders>
            <w:shd w:fill="EDE0F5" w:color="auto" w:val="clear"/>
            <w:tcMar>
              <w:top w:type="dxa" w:w="100"/>
              <w:left w:type="dxa" w:w="120"/>
              <w:bottom w:type="dxa" w:w="100"/>
              <w:right w:type="dxa" w:w="120"/>
            </w:tcMar>
            <w:vAlign w:val="center"/>
          </w:tcPr>
          <w:p>
            <w:r>
              <w:rPr>
                <w:rFonts w:ascii="Poppins" w:cs="Poppins" w:eastAsia="Poppins" w:hAnsi="Poppins"/>
                <w:b/>
                <w:bCs/>
                <w:color w:val="7530AA"/>
                <w:sz w:val="21"/>
                <w:szCs w:val="21"/>
              </w:rPr>
              <w:t xml:space="preserve">Slide</w:t>
            </w:r>
          </w:p>
        </w:tc>
        <w:tc>
          <w:tcPr>
            <w:tcW w:type="dxa" w:w="8064"/>
            <w:tcBorders>
              <w:top w:val="single" w:color="C9C2D1" w:sz="2"/>
              <w:left w:val="single" w:color="C9C2D1" w:sz="2"/>
              <w:bottom w:val="single" w:color="C9C2D1" w:sz="2"/>
              <w:right w:val="single" w:color="C9C2D1" w:sz="2"/>
            </w:tcBorders>
            <w:shd w:fill="EDE0F5" w:color="auto" w:val="clear"/>
            <w:tcMar>
              <w:top w:type="dxa" w:w="100"/>
              <w:left w:type="dxa" w:w="120"/>
              <w:bottom w:type="dxa" w:w="100"/>
              <w:right w:type="dxa" w:w="120"/>
            </w:tcMar>
            <w:vAlign w:val="center"/>
          </w:tcPr>
          <w:p>
            <w:r>
              <w:rPr>
                <w:rFonts w:ascii="Poppins" w:cs="Poppins" w:eastAsia="Poppins" w:hAnsi="Poppins"/>
                <w:b/>
                <w:bCs/>
                <w:color w:val="7530AA"/>
                <w:sz w:val="21"/>
                <w:szCs w:val="21"/>
              </w:rPr>
              <w:t xml:space="preserve">Ce qu'il faut dire (pas seulement montrer)</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 — Titre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Laisser la slide 5-10 secondes en silence — c'est la dernière fois que cette diapositive de titre s'affiche devant toute la cohorte réunie. Puis dérouler le script d'ouverture de </w:t>
            </w:r>
            <w:r>
              <w:rPr>
                <w:rFonts w:ascii="Courier New" w:cs="Courier New" w:eastAsia="Courier New" w:hAnsi="Courier New"/>
                <w:b w:val="false"/>
                <w:bCs w:val="false"/>
                <w:color w:val="1A1323"/>
                <w:sz w:val="21"/>
                <w:szCs w:val="21"/>
              </w:rPr>
              <w:t xml:space="preserve">run-of-show-session-6.md</w:t>
            </w:r>
            <w:r>
              <w:rPr>
                <w:rFonts w:ascii="Poppins" w:cs="Poppins" w:eastAsia="Poppins" w:hAnsi="Poppins"/>
                <w:b w:val="false"/>
                <w:bCs w:val="false"/>
                <w:color w:val="1A1323"/>
                <w:sz w:val="21"/>
                <w:szCs w:val="21"/>
              </w:rPr>
              <w:t xml:space="preserve">, qui fait le bilan complet des 5 modules précédents avant d'entrer dans le sujet du jour.</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2 — Section "Partie 1/4"</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"On commence par le plus simple : vous avez déjà cinq preuves de compétence. La seule question de cette première partie, c'est comment les faire tenir ensemble dans une seule histoire."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3 — Les 6 sections du Portfolio</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Pointer chaque ligne en la nommant à voix haute, pas en la lisant silencieusement : "Section 0, votre Avant/Après. Sections 1 à 5, vos livrables des Modules 1 à 5 — déjà faits, même partiellement. Section 6..." Marquer un temps d'arrêt avant de conclure : "...c'est la seule que vous écrivez aujourd'hui. Tout le reste, c'est de la mise en forme."</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4 — Le portfolio de Fatou, module par module</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Dérouler le tableau comme un rappel narratif complet, pas comme une liste technique : "environnement et Skill au Module 1, 15 prompts C.L.A.R.T.É au Module 2, le dataset DELTA et ses 3 insights au Module 3, dashboard et site au Module 4, automatisation active au Module 5." Insister sur l'encadré : "rien à improviser ici — chaque pièce existe déjà."</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5 — Citation Fatou</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Ton plus posé, presque solennel — c'est le rappel narratif le plus appuyé de tout le programme sur ce persona : "il y a trois semaines, des factures en retard. Aujourd'hui, un dashboard, une automatisation active, une offre avec un prix écrit dessus. C'est exactement la trajectoire qu'on vous demande de reproduire, chacun sur votre propre métier, d'ici 7 jours."</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6 — Section "Partie 2/4"</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"Avoir des compétences et savoir les vendre, ce sont deux choses différentes. La deuxième partie, c'est exactement ça : transformer 'je fais de l'IA' en une offre qu'un client comprend et achète."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7 — Freelancing : où et comment</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Ne pas s'attarder sur la liste de plateformes — insister sur l'encadré : "le nom de l'offre compte plus que le nom de l'outil." Ajouter oralement : "et pour démarrer, le réseau et les clients déjà existants restent toujours plus rapides qu'une plateforme inconnue — c'est exactement le choix de Fatou."</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8 — Produits digitaux : 4 formats</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Nommer les 4 formats avec un exemple concret pris dans le contexte de Fatou pour chacun (template Notion, pack de prompts, mini-formation, automatisation en marque blanche), puis conclure sur l'encadré : "un produit digital se vend pendant que vous dormez — un freelance se vend une heure à la fois. Ce n'est pas mieux ou moins bien, c'est un choix de moyen, pas de valeur."</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9 — Section "Partie 3/4"</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Baisser légèrement le rythme, comme pour une slide de concept abstrait sur les modules précédents : "cette partie est celle qui met le plus mal à l'aise, et c'est normal — on parle de se montrer. On va la rendre aussi mécanique que possible avec deux gabarits simples."</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10 — Le pitch en 1 page</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Pointer les 4 blocs un par un en les nommant, puis marquer l'arrêt sur l'encadré : "un pitch sans chiffre n'est pas un pitch, c'est une opinion — c'est la phrase à retenir de toute cette partie." Annoncer la démo qui suit : "je vais vous montrer, dans deux minutes, la différence entre un prompt flou et ce pitch structuré, côte à côte."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11 — 4 posts LinkedIn, 4 objectifs</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Nommer les 4 formats sans les lire intégralement (ils sont déjà rédigés en entier dans </w:t>
            </w:r>
            <w:r>
              <w:rPr>
                <w:rFonts w:ascii="Courier New" w:cs="Courier New" w:eastAsia="Courier New" w:hAnsi="Courier New"/>
                <w:b w:val="false"/>
                <w:bCs w:val="false"/>
                <w:color w:val="1A1323"/>
                <w:sz w:val="21"/>
                <w:szCs w:val="21"/>
              </w:rPr>
              <w:t xml:space="preserve">04-lecon-ecrite-complete.md</w:t>
            </w:r>
            <w:r>
              <w:rPr>
                <w:rFonts w:ascii="Poppins" w:cs="Poppins" w:eastAsia="Poppins" w:hAnsi="Poppins"/>
                <w:b w:val="false"/>
                <w:bCs w:val="false"/>
                <w:color w:val="1A1323"/>
                <w:sz w:val="21"/>
                <w:szCs w:val="21"/>
              </w:rPr>
              <w:t xml:space="preserve">, Partie 3) : "retour d'expérience pour la crédibilité, étude de cas pour la preuve, avant/après pour la mémorisation visuelle, contenu éducatif pour l'autorité." Conclure sur l'encadré, en insistant sur le mot "cette semaine" : "un seul post publié cette semaine vaut mieux que quatre en brouillon."</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12 — Section "Partie 4/4"</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"Dernière partie, et elle répond à une question qu'on ne vous a pas encore posée directement ce soir : parmi tout ce qu'on vient de voir, qu'est-ce que VOUS faites, vous, dans les 90 jours qui viennent ?"</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13 — La grille de décision</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Lire les 4 critères à voix haute en les reliant à des situations concrètes (temps disponible, tolérance au risque, besoin de revenu immédiat, appétence commerciale), puis marquer un vrai temps d'arrêt sur l'encadré : "il n'y a pas de mauvaise case — seulement la case qui correspond à votre situation réelle aujourd'hui, pas à celle dans un an." C'est le pont direct vers la démonstration et vers l'étude de cas des 3 profils.</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14 — Stratégie à 90 jours</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Pointer les 3 éléments (positionnement, actions datées, jalons 30/60/90) en insistant sur le mot "datées" : "une stratégie sans date, ce n'est pas une stratégie, c'est un vœu." Reprendre l'encadré mot pour mot en le désignant à l'écran : "une action sans date est une intention, pas une action."</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15 — Livrable (badge)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Lire la version barrée avec un ton légèrement plus grave que d'habitude avant de révéler la version positive — c'est le seul module où le badge résume six sessions et non une seule : "sans stratégie : des compétences réelles, aucun revenu ni reconnaissance." Marquer un silence de 2-3 secondes avant de révéler : "stratégie de valorisation à 90 jours plus portfolio finalisé — c'est ça, votre livrable de ce soir, et le dernier du programme."</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16 — Clôture / CTA</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Ne pas improviser un résumé ici — cette slide accompagne le script de clôture de cohorte de </w:t>
            </w:r>
            <w:r>
              <w:rPr>
                <w:rFonts w:ascii="Courier New" w:cs="Courier New" w:eastAsia="Courier New" w:hAnsi="Courier New"/>
                <w:b w:val="false"/>
                <w:bCs w:val="false"/>
                <w:color w:val="1A1323"/>
                <w:sz w:val="21"/>
                <w:szCs w:val="21"/>
              </w:rPr>
              <w:t xml:space="preserve">run-of-show-session-6.md</w:t>
            </w:r>
            <w:r>
              <w:rPr>
                <w:rFonts w:ascii="Poppins" w:cs="Poppins" w:eastAsia="Poppins" w:hAnsi="Poppins"/>
                <w:b w:val="false"/>
                <w:bCs w:val="false"/>
                <w:color w:val="1A1323"/>
                <w:sz w:val="21"/>
                <w:szCs w:val="21"/>
              </w:rPr>
              <w:t xml:space="preserve">, pas une simple transition de fin de module. Laisser la slide affichée pendant tout le bloc de clôture, y compris pendant le Q&amp;A final, pour que le rappel visuel ("finalisez sous 7 jours, sollicitez la certification, restez actif 30 jours") reste devant les yeux des participants jusqu'à la coupure de l'appel.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6470"/>
        <w:sz w:val="16"/>
        <w:szCs w:val="16"/>
      </w:rPr>
      <w:t xml:space="preserve">Notes présentateur — usage interne animateur — page </w:t>
    </w:r>
    <w:r>
      <w:rPr>
        <w:rFonts w:ascii="Poppins" w:cs="Poppins" w:eastAsia="Poppins" w:hAnsi="Poppins"/>
        <w:color w:val="6B6470"/>
        <w:sz w:val="16"/>
        <w:szCs w:val="16"/>
      </w:rPr>
      <w:fldChar w:fldCharType="begin"/>
      <w:instrText xml:space="preserve">PAGE</w:instrText>
      <w:fldChar w:fldCharType="separate"/>
      <w:fldChar w:fldCharType="end"/>
    </w:r>
    <w:r>
      <w:rPr>
        <w:rFonts w:ascii="Poppins" w:cs="Poppins" w:eastAsia="Poppins" w:hAnsi="Poppins"/>
        <w:color w:val="6B6470"/>
        <w:sz w:val="16"/>
        <w:szCs w:val="16"/>
      </w:rPr>
      <w:t xml:space="preserve"> / </w:t>
    </w:r>
    <w:r>
      <w:rPr>
        <w:rFonts w:ascii="Poppins" w:cs="Poppins" w:eastAsia="Poppins" w:hAnsi="Poppins"/>
        <w:color w:val="6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pBdr>
      <w:spacing w:after="100"/>
      <w:jc w:val="right"/>
    </w:pPr>
    <w:r>
      <w:rPr>
        <w:rFonts w:ascii="Poppins" w:cs="Poppins" w:eastAsia="Poppins" w:hAnsi="Poppins"/>
        <w:i/>
        <w:iCs/>
        <w:color w:val="6B6470"/>
        <w:sz w:val="16"/>
        <w:szCs w:val="16"/>
      </w:rPr>
      <w:t xml:space="preserve">Claude AI Mastery 2.0 — Kit animateur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A1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2026-08-11T22:51:45.327Z</dcterms:created>
  <dcterms:modified xsi:type="dcterms:W3CDTF">2026-08-11T22:51:45.327Z</dcterms:modified>
</cp:coreProperties>
</file>

<file path=docProps/custom.xml><?xml version="1.0" encoding="utf-8"?>
<Properties xmlns="http://schemas.openxmlformats.org/officeDocument/2006/custom-properties" xmlns:vt="http://schemas.openxmlformats.org/officeDocument/2006/docPropsVTypes"/>
</file>