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7530AA" w:val="clear"/>
            <w:tcMar>
              <w:top w:type="dxa" w:w="260"/>
              <w:left w:type="dxa" w:w="320"/>
              <w:bottom w:type="dxa" w:w="320"/>
              <w:right w:type="dxa" w:w="320"/>
            </w:tcMar>
          </w:tcPr>
          <w:p>
            <w:pPr>
              <w:spacing w:after="120"/>
            </w:pPr>
            <w:r>
              <w:rPr>
                <w:rFonts w:ascii="Calibri" w:cs="Calibri" w:eastAsia="Calibri" w:hAnsi="Calibri"/>
                <w:b/>
                <w:bCs/>
                <w:caps/>
                <w:color w:val="FFFFFF"/>
                <w:sz w:val="18"/>
                <w:szCs w:val="18"/>
              </w:rPr>
              <w:t xml:space="preserve">MODULE 2 — CORRIGÉ COMMENTÉ</w:t>
            </w:r>
          </w:p>
          <w:p>
            <w:r>
              <w:rPr>
                <w:rFonts w:ascii="Calibri" w:cs="Calibri" w:eastAsia="Calibri" w:hAnsi="Calibri"/>
                <w:b/>
                <w:bCs/>
                <w:color w:val="FFFFFF"/>
                <w:sz w:val="34"/>
                <w:szCs w:val="34"/>
              </w:rPr>
              <w:t xml:space="preserve">Corrigé commenté — Exercice guidé Module 2</w:t>
            </w:r>
          </w:p>
        </w:tc>
      </w:tr>
    </w:tbl>
    <w:p>
      <w:pPr>
        <w:spacing w:after="280"/>
      </w:pPr>
    </w:p>
    <w:p>
      <w:pPr>
        <w:keepNext/>
        <w:spacing w:after="200" w:before="380"/>
      </w:pPr>
      <w:r>
        <w:rPr>
          <w:rFonts w:ascii="Calibri" w:cs="Calibri" w:eastAsia="Calibri" w:hAnsi="Calibri"/>
          <w:b/>
          <w:bCs/>
          <w:color w:val="E06840"/>
          <w:sz w:val="26"/>
          <w:szCs w:val="26"/>
        </w:rPr>
        <w:t xml:space="preserve">Partie A.  </w:t>
      </w:r>
      <w:r>
        <w:rPr>
          <w:rFonts w:ascii="Calibri" w:cs="Calibri" w:eastAsia="Calibri" w:hAnsi="Calibri"/>
          <w:b/>
          <w:bCs/>
          <w:color w:val="7530AA"/>
          <w:sz w:val="26"/>
          <w:szCs w:val="26"/>
        </w:rPr>
        <w:t xml:space="preserve">Diagnostic attendu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300"/>
        <w:gridCol w:w="2860"/>
      </w:tblGrid>
      <w:tr>
        <w:trPr>
          <w:tblHeader/>
        </w:trPr>
        <w:tc>
          <w:tcPr>
            <w:tcW w:type="dxa" w:w="50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w:t>
            </w:r>
          </w:p>
        </w:tc>
        <w:tc>
          <w:tcPr>
            <w:tcW w:type="dxa" w:w="270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Mauvais prompt</w:t>
            </w:r>
          </w:p>
        </w:tc>
        <w:tc>
          <w:tcPr>
            <w:tcW w:type="dxa" w:w="330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Ce qu'il manque</w:t>
            </w:r>
          </w:p>
        </w:tc>
        <w:tc>
          <w:tcPr>
            <w:tcW w:type="dxa" w:w="286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Résultat probable sans correction</w:t>
            </w:r>
          </w:p>
        </w:tc>
      </w:tr>
      <w:tr>
        <w:tc>
          <w:tcPr>
            <w:tcW w:type="dxa" w:w="500"/>
            <w:tcMar>
              <w:top w:type="dxa" w:w="110"/>
              <w:left w:type="dxa" w:w="130"/>
              <w:bottom w:type="dxa" w:w="110"/>
              <w:right w:type="dxa" w:w="130"/>
            </w:tcMar>
          </w:tcPr>
          <w:p>
            <w:r>
              <w:rPr>
                <w:rFonts w:ascii="Calibri" w:cs="Calibri" w:eastAsia="Calibri" w:hAnsi="Calibri"/>
                <w:b w:val="false"/>
                <w:bCs w:val="false"/>
                <w:color w:val="1A1323"/>
                <w:sz w:val="20"/>
                <w:szCs w:val="20"/>
              </w:rPr>
              <w:t xml:space="preserve">1</w:t>
            </w:r>
          </w:p>
        </w:tc>
        <w:tc>
          <w:tcPr>
            <w:tcW w:type="dxa" w:w="2700"/>
            <w:tcMar>
              <w:top w:type="dxa" w:w="110"/>
              <w:left w:type="dxa" w:w="130"/>
              <w:bottom w:type="dxa" w:w="110"/>
              <w:right w:type="dxa" w:w="130"/>
            </w:tcMar>
          </w:tcPr>
          <w:p>
            <w:r>
              <w:rPr>
                <w:rFonts w:ascii="Calibri" w:cs="Calibri" w:eastAsia="Calibri" w:hAnsi="Calibri"/>
                <w:b w:val="false"/>
                <w:bCs w:val="false"/>
                <w:color w:val="1A1323"/>
                <w:sz w:val="20"/>
                <w:szCs w:val="20"/>
              </w:rPr>
              <w:t xml:space="preserve">« Fais-moi un rapport. »</w:t>
            </w:r>
          </w:p>
        </w:tc>
        <w:tc>
          <w:tcPr>
            <w:tcW w:type="dxa" w:w="3300"/>
            <w:tcMar>
              <w:top w:type="dxa" w:w="110"/>
              <w:left w:type="dxa" w:w="130"/>
              <w:bottom w:type="dxa" w:w="110"/>
              <w:right w:type="dxa" w:w="130"/>
            </w:tcMar>
          </w:tcPr>
          <w:p>
            <w:r>
              <w:rPr>
                <w:rFonts w:ascii="Calibri" w:cs="Calibri" w:eastAsia="Calibri" w:hAnsi="Calibri"/>
                <w:b/>
                <w:bCs/>
                <w:color w:val="1A1323"/>
                <w:sz w:val="20"/>
                <w:szCs w:val="20"/>
              </w:rPr>
              <w:t xml:space="preserve">Contexte, Livrable attendu, Audience, Restrictions, Ton, Exemples — toutes les lettres manquent</w:t>
            </w:r>
          </w:p>
        </w:tc>
        <w:tc>
          <w:tcPr>
            <w:tcW w:type="dxa" w:w="2860"/>
            <w:tcMar>
              <w:top w:type="dxa" w:w="110"/>
              <w:left w:type="dxa" w:w="130"/>
              <w:bottom w:type="dxa" w:w="110"/>
              <w:right w:type="dxa" w:w="130"/>
            </w:tcMar>
          </w:tcPr>
          <w:p>
            <w:r>
              <w:rPr>
                <w:rFonts w:ascii="Calibri" w:cs="Calibri" w:eastAsia="Calibri" w:hAnsi="Calibri"/>
                <w:b w:val="false"/>
                <w:bCs w:val="false"/>
                <w:color w:val="1A1323"/>
                <w:sz w:val="20"/>
                <w:szCs w:val="20"/>
              </w:rPr>
              <w:t xml:space="preserve">Un texte générique appelé "rapport", sans savoir sur quoi, pour qui, ni quelle longueur — quasiment inutilisable tel quel</w:t>
            </w:r>
          </w:p>
        </w:tc>
      </w:tr>
      <w:tr>
        <w:tc>
          <w:tcPr>
            <w:tcW w:type="dxa" w:w="500"/>
            <w:tcMar>
              <w:top w:type="dxa" w:w="110"/>
              <w:left w:type="dxa" w:w="130"/>
              <w:bottom w:type="dxa" w:w="110"/>
              <w:right w:type="dxa" w:w="130"/>
            </w:tcMar>
          </w:tcPr>
          <w:p>
            <w:r>
              <w:rPr>
                <w:rFonts w:ascii="Calibri" w:cs="Calibri" w:eastAsia="Calibri" w:hAnsi="Calibri"/>
                <w:b w:val="false"/>
                <w:bCs w:val="false"/>
                <w:color w:val="1A1323"/>
                <w:sz w:val="20"/>
                <w:szCs w:val="20"/>
              </w:rPr>
              <w:t xml:space="preserve">2</w:t>
            </w:r>
          </w:p>
        </w:tc>
        <w:tc>
          <w:tcPr>
            <w:tcW w:type="dxa" w:w="2700"/>
            <w:tcMar>
              <w:top w:type="dxa" w:w="110"/>
              <w:left w:type="dxa" w:w="130"/>
              <w:bottom w:type="dxa" w:w="110"/>
              <w:right w:type="dxa" w:w="130"/>
            </w:tcMar>
          </w:tcPr>
          <w:p>
            <w:r>
              <w:rPr>
                <w:rFonts w:ascii="Calibri" w:cs="Calibri" w:eastAsia="Calibri" w:hAnsi="Calibri"/>
                <w:b w:val="false"/>
                <w:bCs w:val="false"/>
                <w:color w:val="1A1323"/>
                <w:sz w:val="20"/>
                <w:szCs w:val="20"/>
              </w:rPr>
              <w:t xml:space="preserve">« Aide-moi avec Excel. »</w:t>
            </w:r>
          </w:p>
        </w:tc>
        <w:tc>
          <w:tcPr>
            <w:tcW w:type="dxa" w:w="3300"/>
            <w:tcMar>
              <w:top w:type="dxa" w:w="110"/>
              <w:left w:type="dxa" w:w="130"/>
              <w:bottom w:type="dxa" w:w="110"/>
              <w:right w:type="dxa" w:w="130"/>
            </w:tcMar>
          </w:tcPr>
          <w:p>
            <w:r>
              <w:rPr>
                <w:rFonts w:ascii="Calibri" w:cs="Calibri" w:eastAsia="Calibri" w:hAnsi="Calibri"/>
                <w:b w:val="false"/>
                <w:bCs w:val="false"/>
                <w:color w:val="1A1323"/>
                <w:sz w:val="20"/>
                <w:szCs w:val="20"/>
              </w:rPr>
              <w:t xml:space="preserve">Contexte (quel fichier, quel problème), Livrable attendu (une formule ? une analyse ? un nettoyage ?), Restrictions, Exemples</w:t>
            </w:r>
          </w:p>
        </w:tc>
        <w:tc>
          <w:tcPr>
            <w:tcW w:type="dxa" w:w="2860"/>
            <w:tcMar>
              <w:top w:type="dxa" w:w="110"/>
              <w:left w:type="dxa" w:w="130"/>
              <w:bottom w:type="dxa" w:w="110"/>
              <w:right w:type="dxa" w:w="130"/>
            </w:tcMar>
          </w:tcPr>
          <w:p>
            <w:r>
              <w:rPr>
                <w:rFonts w:ascii="Calibri" w:cs="Calibri" w:eastAsia="Calibri" w:hAnsi="Calibri"/>
                <w:b w:val="false"/>
                <w:bCs w:val="false"/>
                <w:color w:val="1A1323"/>
                <w:sz w:val="20"/>
                <w:szCs w:val="20"/>
              </w:rPr>
              <w:t xml:space="preserve">Claude va probablement poser des questions en retour, ou proposer une aide générique sur Excel sans lien avec le vrai besoin</w:t>
            </w:r>
          </w:p>
        </w:tc>
      </w:tr>
      <w:tr>
        <w:tc>
          <w:tcPr>
            <w:tcW w:type="dxa" w:w="500"/>
            <w:tcMar>
              <w:top w:type="dxa" w:w="110"/>
              <w:left w:type="dxa" w:w="130"/>
              <w:bottom w:type="dxa" w:w="110"/>
              <w:right w:type="dxa" w:w="130"/>
            </w:tcMar>
          </w:tcPr>
          <w:p>
            <w:r>
              <w:rPr>
                <w:rFonts w:ascii="Calibri" w:cs="Calibri" w:eastAsia="Calibri" w:hAnsi="Calibri"/>
                <w:b w:val="false"/>
                <w:bCs w:val="false"/>
                <w:color w:val="1A1323"/>
                <w:sz w:val="20"/>
                <w:szCs w:val="20"/>
              </w:rPr>
              <w:t xml:space="preserve">3</w:t>
            </w:r>
          </w:p>
        </w:tc>
        <w:tc>
          <w:tcPr>
            <w:tcW w:type="dxa" w:w="2700"/>
            <w:tcMar>
              <w:top w:type="dxa" w:w="110"/>
              <w:left w:type="dxa" w:w="130"/>
              <w:bottom w:type="dxa" w:w="110"/>
              <w:right w:type="dxa" w:w="130"/>
            </w:tcMar>
          </w:tcPr>
          <w:p>
            <w:r>
              <w:rPr>
                <w:rFonts w:ascii="Calibri" w:cs="Calibri" w:eastAsia="Calibri" w:hAnsi="Calibri"/>
                <w:b w:val="false"/>
                <w:bCs w:val="false"/>
                <w:color w:val="1A1323"/>
                <w:sz w:val="20"/>
                <w:szCs w:val="20"/>
              </w:rPr>
              <w:t xml:space="preserve">« Écris un email. »</w:t>
            </w:r>
          </w:p>
        </w:tc>
        <w:tc>
          <w:tcPr>
            <w:tcW w:type="dxa" w:w="3300"/>
            <w:tcMar>
              <w:top w:type="dxa" w:w="110"/>
              <w:left w:type="dxa" w:w="130"/>
              <w:bottom w:type="dxa" w:w="110"/>
              <w:right w:type="dxa" w:w="130"/>
            </w:tcMar>
          </w:tcPr>
          <w:p>
            <w:r>
              <w:rPr>
                <w:rFonts w:ascii="Calibri" w:cs="Calibri" w:eastAsia="Calibri" w:hAnsi="Calibri"/>
                <w:b w:val="false"/>
                <w:bCs w:val="false"/>
                <w:color w:val="1A1323"/>
                <w:sz w:val="20"/>
                <w:szCs w:val="20"/>
              </w:rPr>
              <w:t xml:space="preserve">Contexte, Audience, Restrictions (longueur, ton), Exemples</w:t>
            </w:r>
          </w:p>
        </w:tc>
        <w:tc>
          <w:tcPr>
            <w:tcW w:type="dxa" w:w="2860"/>
            <w:tcMar>
              <w:top w:type="dxa" w:w="110"/>
              <w:left w:type="dxa" w:w="130"/>
              <w:bottom w:type="dxa" w:w="110"/>
              <w:right w:type="dxa" w:w="130"/>
            </w:tcMar>
          </w:tcPr>
          <w:p>
            <w:r>
              <w:rPr>
                <w:rFonts w:ascii="Calibri" w:cs="Calibri" w:eastAsia="Calibri" w:hAnsi="Calibri"/>
                <w:b w:val="false"/>
                <w:bCs w:val="false"/>
                <w:color w:val="1A1323"/>
                <w:sz w:val="20"/>
                <w:szCs w:val="20"/>
              </w:rPr>
              <w:t xml:space="preserve">Un email plausible mais générique, qui ne correspond presque jamais au ton ou à la relation réelle avec le destinataire</w:t>
            </w:r>
          </w:p>
        </w:tc>
      </w:tr>
    </w:tbl>
    <w:p>
      <w:pPr>
        <w:spacing w:after="2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shd w:fill="1A1323" w:val="clear"/>
            <w:tcMar>
              <w:top w:type="dxa" w:w="220"/>
              <w:left w:type="dxa" w:w="280"/>
              <w:bottom w:type="dxa" w:w="220"/>
              <w:right w:type="dxa" w:w="280"/>
            </w:tcMar>
          </w:tcPr>
          <w:p>
            <w:pPr>
              <w:spacing w:after="100"/>
            </w:pPr>
            <w:r>
              <w:rPr>
                <w:rFonts w:ascii="Calibri" w:cs="Calibri" w:eastAsia="Calibri" w:hAnsi="Calibri"/>
                <w:b/>
                <w:bCs/>
                <w:caps/>
                <w:color w:val="E06840"/>
                <w:sz w:val="18"/>
                <w:szCs w:val="18"/>
              </w:rPr>
              <w:t xml:space="preserve">PIÈGE FRÉQUENT À SURVEILLER (CÔTÉ ANIMATEUR)</w:t>
            </w:r>
          </w:p>
          <w:p>
            <w:r>
              <w:rPr>
                <w:rFonts w:ascii="Calibri" w:cs="Calibri" w:eastAsia="Calibri" w:hAnsi="Calibri"/>
                <w:color w:val="FFFFFF"/>
                <w:sz w:val="21"/>
                <w:szCs w:val="21"/>
              </w:rPr>
              <w:t xml:space="preserve">Certains participants pensent que le prompt 2 ("Aide-moi avec Excel") est "juste incomplet techniquement" alors que le vrai problème est identique aux deux autres — l'absence de Livrable attendu précis. Rappeler que C.L.A.R.T.É s'applique aussi bien à une demande technique qu'à une demande de rédaction.</w:t>
            </w:r>
          </w:p>
        </w:tc>
      </w:tr>
    </w:tbl>
    <w:p>
      <w:pPr>
        <w:keepNext/>
        <w:spacing w:after="200" w:before="380"/>
      </w:pPr>
      <w:r>
        <w:rPr>
          <w:rFonts w:ascii="Calibri" w:cs="Calibri" w:eastAsia="Calibri" w:hAnsi="Calibri"/>
          <w:b/>
          <w:bCs/>
          <w:color w:val="E06840"/>
          <w:sz w:val="26"/>
          <w:szCs w:val="26"/>
        </w:rPr>
        <w:t xml:space="preserve">Partie B.  </w:t>
      </w:r>
      <w:r>
        <w:rPr>
          <w:rFonts w:ascii="Calibri" w:cs="Calibri" w:eastAsia="Calibri" w:hAnsi="Calibri"/>
          <w:b/>
          <w:bCs/>
          <w:color w:val="7530AA"/>
          <w:sz w:val="26"/>
          <w:szCs w:val="26"/>
        </w:rPr>
        <w:t xml:space="preserve">Exemples de versions C.L.A.R.T.É modèles</w:t>
      </w:r>
    </w:p>
    <w:p>
      <w:pPr>
        <w:keepNext/>
        <w:spacing w:after="160" w:before="260"/>
      </w:pPr>
      <w:r>
        <w:rPr>
          <w:rFonts w:ascii="Calibri" w:cs="Calibri" w:eastAsia="Calibri" w:hAnsi="Calibri"/>
          <w:b/>
          <w:bCs/>
          <w:color w:val="1A1323"/>
          <w:sz w:val="23"/>
          <w:szCs w:val="23"/>
        </w:rPr>
        <w:t xml:space="preserve">Prompt 1 — « Fais-moi un rapport » → version retravaillée (cas Fatou)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shd w:fill="1A1323" w:val="clear"/>
            <w:tcMar>
              <w:top w:type="dxa" w:w="220"/>
              <w:left w:type="dxa" w:w="280"/>
              <w:bottom w:type="dxa" w:w="220"/>
              <w:right w:type="dxa" w:w="280"/>
            </w:tcMar>
          </w:tcPr>
          <w:p>
            <w:pPr>
              <w:spacing w:after="100"/>
            </w:pPr>
            <w:r>
              <w:rPr>
                <w:rFonts w:ascii="Calibri" w:cs="Calibri" w:eastAsia="Calibri" w:hAnsi="Calibri"/>
                <w:b/>
                <w:bCs/>
                <w:caps/>
                <w:color w:val="E06840"/>
                <w:sz w:val="18"/>
                <w:szCs w:val="18"/>
              </w:rPr>
              <w:t xml:space="preserve">VERSION MODÈLE</w:t>
            </w:r>
          </w:p>
          <w:p>
            <w:r>
              <w:rPr>
                <w:rFonts w:ascii="Calibri" w:cs="Calibri" w:eastAsia="Calibri" w:hAnsi="Calibri"/>
                <w:color w:val="FFFFFF"/>
                <w:sz w:val="21"/>
                <w:szCs w:val="21"/>
              </w:rPr>
              <w:t xml:space="preserve">« Je suis consultante indépendante en gestion de projets, j'accompagne le client DELTA Distribution (Contexte). Rédige un rapport mensuel d'activité d'une page maximum, structuré en 3 sections : Faits marquants du mois, Indicateurs clés (ventes, stock), Recommandations pour le mois suivant (Livrable attendu). Ce rapport est destiné à Ibrahima Sow, Directeur Général de DELTA, qui n'a que 10 minutes à y consacrer (Audience). Ne jamais inventer un chiffre non fourni — écrire 'donnée non disponible' si besoin ; rester sous 400 mots (Restrictions). Ton factuel et direct, orienté décision plutôt que narratif (Ton). Voici le rapport du mois dernier pour référence de structure : {rapport précédent} (Exemples). »</w:t>
            </w:r>
          </w:p>
        </w:tc>
      </w:tr>
    </w:tbl>
    <w:p>
      <w:pPr>
        <w:spacing w:after="240"/>
      </w:pPr>
    </w:p>
    <w:p>
      <w:pPr>
        <w:keepNext/>
        <w:spacing w:after="160" w:before="260"/>
      </w:pPr>
      <w:r>
        <w:rPr>
          <w:rFonts w:ascii="Calibri" w:cs="Calibri" w:eastAsia="Calibri" w:hAnsi="Calibri"/>
          <w:b/>
          <w:bCs/>
          <w:color w:val="1A1323"/>
          <w:sz w:val="23"/>
          <w:szCs w:val="23"/>
        </w:rPr>
        <w:t xml:space="preserve">Prompt 2 — « Aide-moi avec Excel » → version retravaillée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shd w:fill="1A1323" w:val="clear"/>
            <w:tcMar>
              <w:top w:type="dxa" w:w="220"/>
              <w:left w:type="dxa" w:w="280"/>
              <w:bottom w:type="dxa" w:w="220"/>
              <w:right w:type="dxa" w:w="280"/>
            </w:tcMar>
          </w:tcPr>
          <w:p>
            <w:pPr>
              <w:spacing w:after="100"/>
            </w:pPr>
            <w:r>
              <w:rPr>
                <w:rFonts w:ascii="Calibri" w:cs="Calibri" w:eastAsia="Calibri" w:hAnsi="Calibri"/>
                <w:b/>
                <w:bCs/>
                <w:caps/>
                <w:color w:val="E06840"/>
                <w:sz w:val="18"/>
                <w:szCs w:val="18"/>
              </w:rPr>
              <w:t xml:space="preserve">VERSION MODÈLE</w:t>
            </w:r>
          </w:p>
          <w:p>
            <w:r>
              <w:rPr>
                <w:rFonts w:ascii="Calibri" w:cs="Calibri" w:eastAsia="Calibri" w:hAnsi="Calibri"/>
                <w:color w:val="FFFFFF"/>
                <w:sz w:val="21"/>
                <w:szCs w:val="21"/>
              </w:rPr>
              <w:t xml:space="preserve">« J'ai un fichier Excel de suivi de stock avec des colonnes Date, Entrepôt, Produit, Quantité (Contexte). Explique-moi comment créer un tableau croisé dynamique qui montre le total de ruptures de stock par entrepôt et par mois (Livrable attendu). C'est pour moi-même, pas pour présenter à un client — tu peux être technique (Audience). Donne les étapes clic par clic, pas juste la formule finale (Restrictions). Ton pédagogique, comme si tu m'expliquais pour la première fois (Ton). »</w:t>
            </w:r>
          </w:p>
        </w:tc>
      </w:tr>
    </w:tbl>
    <w:p>
      <w:pPr>
        <w:spacing w:after="240"/>
      </w:pPr>
    </w:p>
    <w:p>
      <w:pPr>
        <w:spacing w:after="200"/>
      </w:pPr>
      <w:r>
        <w:rPr>
          <w:rFonts w:ascii="Calibri" w:cs="Calibri" w:eastAsia="Calibri" w:hAnsi="Calibri"/>
          <w:b/>
          <w:bCs/>
          <w:i w:val="false"/>
          <w:iCs w:val="false"/>
          <w:sz w:val="22"/>
          <w:szCs w:val="22"/>
        </w:rPr>
        <w:t xml:space="preserve">Prompt 3 — « Écris un email » → version retravaillée : </w:t>
      </w:r>
      <w:r>
        <w:rPr>
          <w:rFonts w:ascii="Calibri" w:cs="Calibri" w:eastAsia="Calibri" w:hAnsi="Calibri"/>
          <w:b w:val="false"/>
          <w:bCs w:val="false"/>
          <w:i w:val="false"/>
          <w:iCs w:val="false"/>
          <w:sz w:val="22"/>
          <w:szCs w:val="22"/>
        </w:rPr>
        <w:t xml:space="preserve">voir l'exemple complet de relance de facture DELTA dans </w:t>
      </w:r>
      <w:r>
        <w:rPr>
          <w:rFonts w:ascii="Calibri" w:cs="Calibri" w:eastAsia="Calibri" w:hAnsi="Calibri"/>
          <w:b w:val="false"/>
          <w:bCs w:val="false"/>
          <w:i/>
          <w:iCs/>
          <w:sz w:val="22"/>
          <w:szCs w:val="22"/>
        </w:rPr>
        <w:t xml:space="preserve">../04-lecon-ecrite-complete.md</w:t>
      </w:r>
      <w:r>
        <w:rPr>
          <w:rFonts w:ascii="Calibri" w:cs="Calibri" w:eastAsia="Calibri" w:hAnsi="Calibri"/>
          <w:b w:val="false"/>
          <w:bCs w:val="false"/>
          <w:i w:val="false"/>
          <w:iCs w:val="false"/>
          <w:sz w:val="22"/>
          <w:szCs w:val="22"/>
        </w:rPr>
        <w:t xml:space="preserve">, Partie 1 — c'est le cas de référence de ce module, à ne pas reproduire mot pour mot mais à utiliser comme gabarit de raisonnement.</w:t>
      </w:r>
    </w:p>
    <w:p>
      <w:pPr>
        <w:spacing w:after="200"/>
      </w:pPr>
      <w:r>
        <w:rPr>
          <w:rFonts w:ascii="Calibri" w:cs="Calibri" w:eastAsia="Calibri" w:hAnsi="Calibri"/>
          <w:b/>
          <w:bCs/>
          <w:i w:val="false"/>
          <w:iCs w:val="false"/>
          <w:color w:val="7530AA"/>
          <w:sz w:val="22"/>
          <w:szCs w:val="22"/>
        </w:rPr>
        <w:t xml:space="preserve">Point de vérification : </w:t>
      </w:r>
      <w:r>
        <w:rPr>
          <w:rFonts w:ascii="Calibri" w:cs="Calibri" w:eastAsia="Calibri" w:hAnsi="Calibri"/>
          <w:b w:val="false"/>
          <w:bCs w:val="false"/>
          <w:i w:val="false"/>
          <w:iCs w:val="false"/>
          <w:sz w:val="22"/>
          <w:szCs w:val="22"/>
        </w:rPr>
        <w:t xml:space="preserve">une version C.L.A.R.T.É "réussie" au sens de cet exercice n'a pas besoin d'être longue — elle doit couvrir les 6 lettres pertinentes pour le cas (certaines tâches très simples n'ont par exemple pas besoin d'Exemples), et produire un résultat exploitable sans reformulation au premier essai.</w:t>
      </w:r>
    </w:p>
    <w:p>
      <w:pPr>
        <w:keepNext/>
        <w:spacing w:after="200" w:before="380"/>
      </w:pPr>
      <w:r>
        <w:rPr>
          <w:rFonts w:ascii="Calibri" w:cs="Calibri" w:eastAsia="Calibri" w:hAnsi="Calibri"/>
          <w:b/>
          <w:bCs/>
          <w:color w:val="E06840"/>
          <w:sz w:val="26"/>
          <w:szCs w:val="26"/>
        </w:rPr>
        <w:t xml:space="preserve">Partie C.  </w:t>
      </w:r>
      <w:r>
        <w:rPr>
          <w:rFonts w:ascii="Calibri" w:cs="Calibri" w:eastAsia="Calibri" w:hAnsi="Calibri"/>
          <w:b/>
          <w:bCs/>
          <w:color w:val="7530AA"/>
          <w:sz w:val="26"/>
          <w:szCs w:val="26"/>
        </w:rPr>
        <w:t xml:space="preserve">Points de vérification du gabarit</w:t>
      </w:r>
    </w:p>
    <w:p>
      <w:pPr>
        <w:pStyle w:val="ListParagraph"/>
        <w:numPr>
          <w:ilvl w:val="0"/>
          <w:numId w:val="2"/>
        </w:numPr>
        <w:spacing w:after="140"/>
      </w:pPr>
      <w:r>
        <w:rPr>
          <w:rFonts w:ascii="Calibri" w:cs="Calibri" w:eastAsia="Calibri" w:hAnsi="Calibri"/>
          <w:b w:val="false"/>
          <w:bCs w:val="false"/>
          <w:i w:val="false"/>
          <w:iCs w:val="false"/>
          <w:sz w:val="22"/>
          <w:szCs w:val="22"/>
        </w:rPr>
        <w:t xml:space="preserve">Un bon gabarit nomme ses variables clairement (</w:t>
      </w:r>
      <w:r>
        <w:rPr>
          <w:rFonts w:ascii="Courier New" w:cs="Courier New" w:eastAsia="Courier New" w:hAnsi="Courier New"/>
          <w:b/>
          <w:bCs/>
          <w:color w:val="E06840"/>
          <w:sz w:val="22"/>
          <w:szCs w:val="22"/>
        </w:rPr>
        <w:t xml:space="preserve">{nom_client}</w:t>
      </w:r>
      <w:r>
        <w:rPr>
          <w:rFonts w:ascii="Calibri" w:cs="Calibri" w:eastAsia="Calibri" w:hAnsi="Calibri"/>
          <w:b w:val="false"/>
          <w:bCs w:val="false"/>
          <w:i w:val="false"/>
          <w:iCs w:val="false"/>
          <w:sz w:val="22"/>
          <w:szCs w:val="22"/>
        </w:rPr>
        <w:t xml:space="preserve">, pas </w:t>
      </w:r>
      <w:r>
        <w:rPr>
          <w:rFonts w:ascii="Courier New" w:cs="Courier New" w:eastAsia="Courier New" w:hAnsi="Courier New"/>
          <w:color w:val="1A1323"/>
          <w:sz w:val="22"/>
          <w:szCs w:val="22"/>
        </w:rPr>
        <w:t xml:space="preserve">{x}</w:t>
      </w:r>
      <w:r>
        <w:rPr>
          <w:rFonts w:ascii="Calibri" w:cs="Calibri" w:eastAsia="Calibri" w:hAnsi="Calibri"/>
          <w:b w:val="false"/>
          <w:bCs w:val="false"/>
          <w:i w:val="false"/>
          <w:iCs w:val="false"/>
          <w:sz w:val="22"/>
          <w:szCs w:val="22"/>
        </w:rPr>
        <w:t xml:space="preserve">) — si vous devez vous souvenir de ce que représente une variable, elle est mal nommée.</w:t>
      </w:r>
    </w:p>
    <w:p>
      <w:pPr>
        <w:pStyle w:val="ListParagraph"/>
        <w:numPr>
          <w:ilvl w:val="0"/>
          <w:numId w:val="2"/>
        </w:numPr>
        <w:spacing w:after="140"/>
      </w:pPr>
      <w:r>
        <w:rPr>
          <w:rFonts w:ascii="Calibri" w:cs="Calibri" w:eastAsia="Calibri" w:hAnsi="Calibri"/>
          <w:b w:val="false"/>
          <w:bCs w:val="false"/>
          <w:i w:val="false"/>
          <w:iCs w:val="false"/>
          <w:sz w:val="22"/>
          <w:szCs w:val="22"/>
        </w:rPr>
        <w:t xml:space="preserve">Un gabarit qui ne fonctionne que sur son cas d'origine n'est pas encore un vrai gabarit : testez-le systématiquement sur un deuxième cas différent avant de le considérer comme terminé.</w:t>
      </w:r>
    </w:p>
    <w:p>
      <w:pPr>
        <w:keepNext/>
        <w:spacing w:after="200" w:before="380"/>
      </w:pPr>
      <w:r>
        <w:rPr>
          <w:rFonts w:ascii="Calibri" w:cs="Calibri" w:eastAsia="Calibri" w:hAnsi="Calibri"/>
          <w:b/>
          <w:bCs/>
          <w:color w:val="E06840"/>
          <w:sz w:val="26"/>
          <w:szCs w:val="26"/>
        </w:rPr>
        <w:t xml:space="preserve">Partie D.  </w:t>
      </w:r>
      <w:r>
        <w:rPr>
          <w:rFonts w:ascii="Calibri" w:cs="Calibri" w:eastAsia="Calibri" w:hAnsi="Calibri"/>
          <w:b/>
          <w:bCs/>
          <w:color w:val="7530AA"/>
          <w:sz w:val="26"/>
          <w:szCs w:val="26"/>
        </w:rPr>
        <w:t xml:space="preserve">Corrigé de l'analyse du contrat DELTA</w:t>
      </w:r>
    </w:p>
    <w:p>
      <w:pPr>
        <w:spacing w:after="200"/>
      </w:pPr>
      <w:r>
        <w:rPr>
          <w:rFonts w:ascii="Calibri" w:cs="Calibri" w:eastAsia="Calibri" w:hAnsi="Calibri"/>
          <w:b w:val="false"/>
          <w:bCs w:val="false"/>
          <w:i w:val="false"/>
          <w:iCs w:val="false"/>
          <w:sz w:val="22"/>
          <w:szCs w:val="22"/>
        </w:rPr>
        <w:t xml:space="preserve">Tableau attendu (à comparer avec celui produit par Claude)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Catégorie</w:t>
            </w:r>
          </w:p>
        </w:tc>
        <w:tc>
          <w:tcPr>
            <w:tcW w:type="dxa" w:w="676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Détail</w:t>
            </w:r>
          </w:p>
        </w:tc>
      </w:tr>
      <w:tr>
        <w:tc>
          <w:tcPr>
            <w:tcW w:type="dxa" w:w="2600"/>
            <w:tcMar>
              <w:top w:type="dxa" w:w="110"/>
              <w:left w:type="dxa" w:w="130"/>
              <w:bottom w:type="dxa" w:w="110"/>
              <w:right w:type="dxa" w:w="130"/>
            </w:tcMar>
          </w:tcPr>
          <w:p>
            <w:r>
              <w:rPr>
                <w:rFonts w:ascii="Calibri" w:cs="Calibri" w:eastAsia="Calibri" w:hAnsi="Calibri"/>
                <w:b/>
                <w:bCs/>
                <w:color w:val="1A1323"/>
                <w:sz w:val="20"/>
                <w:szCs w:val="20"/>
              </w:rPr>
              <w:t xml:space="preserve">Montants et paiement</w:t>
            </w:r>
          </w:p>
        </w:tc>
        <w:tc>
          <w:tcPr>
            <w:tcW w:type="dxa" w:w="6760"/>
            <w:tcMar>
              <w:top w:type="dxa" w:w="110"/>
              <w:left w:type="dxa" w:w="130"/>
              <w:bottom w:type="dxa" w:w="110"/>
              <w:right w:type="dxa" w:w="130"/>
            </w:tcMar>
          </w:tcPr>
          <w:p>
            <w:r>
              <w:rPr>
                <w:rFonts w:ascii="Calibri" w:cs="Calibri" w:eastAsia="Calibri" w:hAnsi="Calibri"/>
                <w:b w:val="false"/>
                <w:bCs w:val="false"/>
                <w:color w:val="1A1323"/>
                <w:sz w:val="20"/>
                <w:szCs w:val="20"/>
              </w:rPr>
              <w:t xml:space="preserve">Honoraires mensuels forfaitaires : 450 000 FCFA HT, facturés en début de mois. Frais de déplacement : 25 000 FCFA/déplacement, plafonné à 2/mois sans accord écrit préalable. Paiement à 15 jours calendaires, pénalité de 1,5 %/mois de retard sans mise en demeure préalable.</w:t>
            </w:r>
          </w:p>
        </w:tc>
      </w:tr>
      <w:tr>
        <w:tc>
          <w:tcPr>
            <w:tcW w:type="dxa" w:w="2600"/>
            <w:tcMar>
              <w:top w:type="dxa" w:w="110"/>
              <w:left w:type="dxa" w:w="130"/>
              <w:bottom w:type="dxa" w:w="110"/>
              <w:right w:type="dxa" w:w="130"/>
            </w:tcMar>
          </w:tcPr>
          <w:p>
            <w:r>
              <w:rPr>
                <w:rFonts w:ascii="Calibri" w:cs="Calibri" w:eastAsia="Calibri" w:hAnsi="Calibri"/>
                <w:b/>
                <w:bCs/>
                <w:color w:val="1A1323"/>
                <w:sz w:val="20"/>
                <w:szCs w:val="20"/>
              </w:rPr>
              <w:t xml:space="preserve">Échéances et délais</w:t>
            </w:r>
          </w:p>
        </w:tc>
        <w:tc>
          <w:tcPr>
            <w:tcW w:type="dxa" w:w="6760"/>
            <w:tcMar>
              <w:top w:type="dxa" w:w="110"/>
              <w:left w:type="dxa" w:w="130"/>
              <w:bottom w:type="dxa" w:w="110"/>
              <w:right w:type="dxa" w:w="130"/>
            </w:tcMar>
          </w:tcPr>
          <w:p>
            <w:r>
              <w:rPr>
                <w:rFonts w:ascii="Calibri" w:cs="Calibri" w:eastAsia="Calibri" w:hAnsi="Calibri"/>
                <w:b w:val="false"/>
                <w:bCs w:val="false"/>
                <w:color w:val="1A1323"/>
                <w:sz w:val="20"/>
                <w:szCs w:val="20"/>
              </w:rPr>
              <w:t xml:space="preserve">Tableau de suivi hebdomadaire : sous 15 jours après démarrage. Compte-rendu mensuel : le 5 de chaque mois. Point trimestriel : 2ᵉ semaine de chaque trimestre. Bilan de fin de mission : 10 jours avant le terme. Alerte de risque de retard : sous 48h.</w:t>
            </w:r>
          </w:p>
        </w:tc>
      </w:tr>
      <w:tr>
        <w:tc>
          <w:tcPr>
            <w:tcW w:type="dxa" w:w="2600"/>
            <w:tcMar>
              <w:top w:type="dxa" w:w="110"/>
              <w:left w:type="dxa" w:w="130"/>
              <w:bottom w:type="dxa" w:w="110"/>
              <w:right w:type="dxa" w:w="130"/>
            </w:tcMar>
          </w:tcPr>
          <w:p>
            <w:r>
              <w:rPr>
                <w:rFonts w:ascii="Calibri" w:cs="Calibri" w:eastAsia="Calibri" w:hAnsi="Calibri"/>
                <w:b/>
                <w:bCs/>
                <w:color w:val="1A1323"/>
                <w:sz w:val="20"/>
                <w:szCs w:val="20"/>
              </w:rPr>
              <w:t xml:space="preserve">Clauses de résiliation</w:t>
            </w:r>
          </w:p>
        </w:tc>
        <w:tc>
          <w:tcPr>
            <w:tcW w:type="dxa" w:w="6760"/>
            <w:tcMar>
              <w:top w:type="dxa" w:w="110"/>
              <w:left w:type="dxa" w:w="130"/>
              <w:bottom w:type="dxa" w:w="110"/>
              <w:right w:type="dxa" w:w="130"/>
            </w:tcMar>
          </w:tcPr>
          <w:p>
            <w:r>
              <w:rPr>
                <w:rFonts w:ascii="Calibri" w:cs="Calibri" w:eastAsia="Calibri" w:hAnsi="Calibri"/>
                <w:b w:val="false"/>
                <w:bCs w:val="false"/>
                <w:color w:val="1A1323"/>
                <w:sz w:val="20"/>
                <w:szCs w:val="20"/>
              </w:rPr>
              <w:t xml:space="preserve">Préavis de 30 jours par écrit, à tout moment, pour les deux parties. Résiliation sans préavis possible en cas de manquement grave (ex. impayé &gt; 60 jours) après mise en demeure de 15 jours restée sans effet. Si le Client résilie sans manquement de la Prestataire, le mois en cours reste dû au prorata.</w:t>
            </w:r>
          </w:p>
        </w:tc>
      </w:tr>
      <w:tr>
        <w:tc>
          <w:tcPr>
            <w:tcW w:type="dxa" w:w="2600"/>
            <w:tcMar>
              <w:top w:type="dxa" w:w="110"/>
              <w:left w:type="dxa" w:w="130"/>
              <w:bottom w:type="dxa" w:w="110"/>
              <w:right w:type="dxa" w:w="130"/>
            </w:tcMar>
          </w:tcPr>
          <w:p>
            <w:r>
              <w:rPr>
                <w:rFonts w:ascii="Calibri" w:cs="Calibri" w:eastAsia="Calibri" w:hAnsi="Calibri"/>
                <w:b/>
                <w:bCs/>
                <w:color w:val="1A1323"/>
                <w:sz w:val="20"/>
                <w:szCs w:val="20"/>
              </w:rPr>
              <w:t xml:space="preserve">Obligations des parties</w:t>
            </w:r>
          </w:p>
        </w:tc>
        <w:tc>
          <w:tcPr>
            <w:tcW w:type="dxa" w:w="6760"/>
            <w:tcMar>
              <w:top w:type="dxa" w:w="110"/>
              <w:left w:type="dxa" w:w="130"/>
              <w:bottom w:type="dxa" w:w="110"/>
              <w:right w:type="dxa" w:w="130"/>
            </w:tcMar>
          </w:tcPr>
          <w:p>
            <w:r>
              <w:rPr>
                <w:rFonts w:ascii="Calibri" w:cs="Calibri" w:eastAsia="Calibri" w:hAnsi="Calibri"/>
                <w:b w:val="false"/>
                <w:bCs w:val="false"/>
                <w:color w:val="1A1323"/>
                <w:sz w:val="20"/>
                <w:szCs w:val="20"/>
              </w:rPr>
              <w:t xml:space="preserve">Prestataire : diligence, confidentialité pendant le contrat + 24 mois après, alerte écrite à 48h en cas de risque de retard. Client : fournir les données nécessaires, désigner un interlocuteur unique, payer dans les délais.</w:t>
            </w:r>
          </w:p>
        </w:tc>
      </w:tr>
    </w:tbl>
    <w:p>
      <w:pPr>
        <w:spacing w:after="260"/>
      </w:pPr>
    </w:p>
    <w:p>
      <w:pPr>
        <w:spacing w:after="200"/>
      </w:pPr>
      <w:r>
        <w:rPr>
          <w:rFonts w:ascii="Calibri" w:cs="Calibri" w:eastAsia="Calibri" w:hAnsi="Calibri"/>
          <w:b/>
          <w:bCs/>
          <w:i w:val="false"/>
          <w:iCs w:val="false"/>
          <w:color w:val="7530AA"/>
          <w:sz w:val="22"/>
          <w:szCs w:val="22"/>
        </w:rPr>
        <w:t xml:space="preserve">Réponses attendues aux questions de la Partie D :</w:t>
      </w:r>
    </w:p>
    <w:p>
      <w:pPr>
        <w:pStyle w:val="ListParagraph"/>
        <w:numPr>
          <w:ilvl w:val="0"/>
          <w:numId w:val="2"/>
        </w:numPr>
        <w:spacing w:after="140"/>
      </w:pPr>
      <w:r>
        <w:rPr>
          <w:rFonts w:ascii="Calibri" w:cs="Calibri" w:eastAsia="Calibri" w:hAnsi="Calibri"/>
          <w:b w:val="false"/>
          <w:bCs w:val="false"/>
          <w:i w:val="false"/>
          <w:iCs w:val="false"/>
          <w:sz w:val="22"/>
          <w:szCs w:val="22"/>
        </w:rPr>
        <w:t xml:space="preserve">Montant mensuel des honoraires : </w:t>
      </w:r>
      <w:r>
        <w:rPr>
          <w:rFonts w:ascii="Calibri" w:cs="Calibri" w:eastAsia="Calibri" w:hAnsi="Calibri"/>
          <w:b/>
          <w:bCs/>
          <w:i w:val="false"/>
          <w:iCs w:val="false"/>
          <w:sz w:val="22"/>
          <w:szCs w:val="22"/>
        </w:rPr>
        <w:t xml:space="preserve">450 000 FCFA HT</w:t>
      </w:r>
      <w:r>
        <w:rPr>
          <w:rFonts w:ascii="Calibri" w:cs="Calibri" w:eastAsia="Calibri" w:hAnsi="Calibri"/>
          <w:b w:val="false"/>
          <w:bCs w:val="false"/>
          <w:i w:val="false"/>
          <w:iCs w:val="false"/>
          <w:sz w:val="22"/>
          <w:szCs w:val="22"/>
        </w:rPr>
        <w:t xml:space="preserve"> (hors frais de déplacement).</w:t>
      </w:r>
    </w:p>
    <w:p>
      <w:pPr>
        <w:pStyle w:val="ListParagraph"/>
        <w:numPr>
          <w:ilvl w:val="0"/>
          <w:numId w:val="2"/>
        </w:numPr>
        <w:spacing w:after="140"/>
      </w:pPr>
      <w:r>
        <w:rPr>
          <w:rFonts w:ascii="Calibri" w:cs="Calibri" w:eastAsia="Calibri" w:hAnsi="Calibri"/>
          <w:b w:val="false"/>
          <w:bCs w:val="false"/>
          <w:i w:val="false"/>
          <w:iCs w:val="false"/>
          <w:sz w:val="22"/>
          <w:szCs w:val="22"/>
        </w:rPr>
        <w:t xml:space="preserve">Délai de préavis en cas de résiliation : </w:t>
      </w:r>
      <w:r>
        <w:rPr>
          <w:rFonts w:ascii="Calibri" w:cs="Calibri" w:eastAsia="Calibri" w:hAnsi="Calibri"/>
          <w:b/>
          <w:bCs/>
          <w:i w:val="false"/>
          <w:iCs w:val="false"/>
          <w:sz w:val="22"/>
          <w:szCs w:val="22"/>
        </w:rPr>
        <w:t xml:space="preserve">30 jours</w:t>
      </w:r>
      <w:r>
        <w:rPr>
          <w:rFonts w:ascii="Calibri" w:cs="Calibri" w:eastAsia="Calibri" w:hAnsi="Calibri"/>
          <w:b w:val="false"/>
          <w:bCs w:val="false"/>
          <w:i w:val="false"/>
          <w:iCs w:val="false"/>
          <w:sz w:val="22"/>
          <w:szCs w:val="22"/>
        </w:rPr>
        <w:t xml:space="preserve">, par écrit.</w:t>
      </w:r>
    </w:p>
    <w:p>
      <w:pPr>
        <w:pStyle w:val="ListParagraph"/>
        <w:numPr>
          <w:ilvl w:val="0"/>
          <w:numId w:val="2"/>
        </w:numPr>
        <w:spacing w:after="140"/>
      </w:pPr>
      <w:r>
        <w:rPr>
          <w:rFonts w:ascii="Calibri" w:cs="Calibri" w:eastAsia="Calibri" w:hAnsi="Calibri"/>
          <w:b w:val="false"/>
          <w:bCs w:val="false"/>
          <w:i w:val="false"/>
          <w:iCs w:val="false"/>
          <w:sz w:val="22"/>
          <w:szCs w:val="22"/>
        </w:rPr>
        <w:t xml:space="preserve">Durée de l'obligation de confidentialité après la fin du contrat : </w:t>
      </w:r>
      <w:r>
        <w:rPr>
          <w:rFonts w:ascii="Calibri" w:cs="Calibri" w:eastAsia="Calibri" w:hAnsi="Calibri"/>
          <w:b/>
          <w:bCs/>
          <w:i w:val="false"/>
          <w:iCs w:val="false"/>
          <w:sz w:val="22"/>
          <w:szCs w:val="22"/>
        </w:rPr>
        <w:t xml:space="preserve">24 mois</w:t>
      </w:r>
      <w:r>
        <w:rPr>
          <w:rFonts w:ascii="Calibri" w:cs="Calibri" w:eastAsia="Calibri" w:hAnsi="Calibri"/>
          <w:b w:val="false"/>
          <w:bCs w:val="false"/>
          <w:i w:val="false"/>
          <w:iCs w:val="false"/>
          <w:sz w:val="22"/>
          <w:szCs w:val="22"/>
        </w:rPr>
        <w:t xml:space="preserve">.</w:t>
      </w:r>
    </w:p>
    <w:p>
      <w:pPr>
        <w:spacing w:after="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shd w:fill="1A1323" w:val="clear"/>
            <w:tcMar>
              <w:top w:type="dxa" w:w="220"/>
              <w:left w:type="dxa" w:w="280"/>
              <w:bottom w:type="dxa" w:w="220"/>
              <w:right w:type="dxa" w:w="280"/>
            </w:tcMar>
          </w:tcPr>
          <w:p>
            <w:pPr>
              <w:spacing w:after="100"/>
            </w:pPr>
            <w:r>
              <w:rPr>
                <w:rFonts w:ascii="Calibri" w:cs="Calibri" w:eastAsia="Calibri" w:hAnsi="Calibri"/>
                <w:b/>
                <w:bCs/>
                <w:caps/>
                <w:color w:val="E06840"/>
                <w:sz w:val="18"/>
                <w:szCs w:val="18"/>
              </w:rPr>
              <w:t xml:space="preserve">CE QU'UN BON DIAGNOSTIC DOIT REPÉRER</w:t>
            </w:r>
          </w:p>
          <w:p>
            <w:r>
              <w:rPr>
                <w:rFonts w:ascii="Calibri" w:cs="Calibri" w:eastAsia="Calibri" w:hAnsi="Calibri"/>
                <w:color w:val="FFFFFF"/>
                <w:sz w:val="21"/>
                <w:szCs w:val="21"/>
              </w:rPr>
              <w:t xml:space="preserve">Si Claude se trompe ou approxime : un montant arrondi (ex. "environ 450 000" au lieu du chiffre exact), une confusion entre le préavis de résiliation ordinaire (30 jours) et le délai de mise en demeure en cas de manquement grave (15 jours) — ce sont deux délais différents dans deux situations différentes, un point de vigilance classique sur ce type de document.</w:t>
            </w:r>
          </w:p>
        </w:tc>
      </w:tr>
    </w:tbl>
    <w:sectPr>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360"/>
      </w:pPr>
      <w:rPr>
        <w:color w:val="E06840"/>
      </w:rPr>
    </w:lvl>
  </w:abstractNum>
  <w:abstractNum w:abstractNumId="3" w15:restartNumberingAfterBreak="0">
    <w:multiLevelType w:val="hybridMultilevel"/>
    <w:lvl w:ilvl="0" w15:tentative="1">
      <w:start w:val="1"/>
      <w:numFmt w:val="decimal"/>
      <w:lvlText w:val="%1."/>
      <w:lvlJc w:val="start"/>
      <w:pPr>
        <w:ind w:left="576" w:hanging="431"/>
      </w:pPr>
      <w:rPr>
        <w:b/>
        <w:bCs/>
        <w:color w:val="E0684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2026-08-11T06:04:11.824Z</dcterms:created>
  <dcterms:modified xsi:type="dcterms:W3CDTF">2026-08-11T06:04:11.825Z</dcterms:modified>
</cp:coreProperties>
</file>

<file path=docProps/custom.xml><?xml version="1.0" encoding="utf-8"?>
<Properties xmlns="http://schemas.openxmlformats.org/officeDocument/2006/custom-properties" xmlns:vt="http://schemas.openxmlformats.org/officeDocument/2006/docPropsVTypes"/>
</file>