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E06840" w:sz="12" w:space="6"/>
        </w:pBdr>
        <w:spacing w:after="80"/>
      </w:pPr>
      <w:r>
        <w:rPr>
          <w:rFonts w:ascii="Arial" w:cs="Arial" w:eastAsia="Arial" w:hAnsi="Arial"/>
          <w:b/>
          <w:bCs/>
          <w:color w:val="7530AA"/>
          <w:sz w:val="40"/>
          <w:szCs w:val="40"/>
        </w:rPr>
        <w:t xml:space="preserve">Exercice guidé — Module 6 — Positionner 3 profils, puis le vôtre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5A5568"/>
          <w:sz w:val="21"/>
          <w:szCs w:val="21"/>
        </w:rPr>
        <w:t xml:space="preserve">Durée : 20-25 minutes, en session (bloc pratique guidée).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A — Repositionnez les 3 mini-cas dans la grille de décision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323"/>
          <w:sz w:val="21"/>
          <w:szCs w:val="21"/>
        </w:rPr>
        <w:t xml:space="preserve">Reprenez les 3 profils présentés dans 07-etude-de-cas.md (Abdoulaye le salarié, Nadia la freelance débutante, Karim l'entrepreneur). Sans relire tout de suite la section « Analyse comparative » de l'étude de cas, remplissez ce tableau pour chacun, à partir des éléments de situation donnés dans leur portrait 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100"/>
        <w:gridCol w:w="2200"/>
        <w:gridCol w:w="3940"/>
      </w:tblGrid>
      <w:tr>
        <w:trPr>
          <w:tblHeader/>
        </w:trPr>
        <w:tc>
          <w:tcPr>
            <w:tcW w:type="dxa" w:w="16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21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 disponible/semaine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(faible/moyen/élevé)</w:t>
            </w:r>
          </w:p>
        </w:tc>
        <w:tc>
          <w:tcPr>
            <w:tcW w:type="dxa" w:w="21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Tolérance au risque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(faible/moyenne/élevée)</w:t>
            </w:r>
          </w:p>
        </w:tc>
        <w:tc>
          <w:tcPr>
            <w:tcW w:type="dxa" w:w="21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Besoin de revenu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immédiat (oui/non)</w:t>
            </w:r>
          </w:p>
        </w:tc>
        <w:tc>
          <w:tcPr>
            <w:tcW w:type="dxa" w:w="22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Voie que je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recommande</w:t>
            </w:r>
          </w:p>
        </w:tc>
        <w:tc>
          <w:tcPr>
            <w:tcW w:type="dxa" w:w="394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 (1 phrase)</w:t>
            </w:r>
          </w:p>
        </w:tc>
      </w:tr>
      <w:tr>
        <w:tc>
          <w:tcPr>
            <w:tcW w:type="dxa" w:w="16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323"/>
                <w:sz w:val="19"/>
                <w:szCs w:val="19"/>
              </w:rPr>
              <w:t xml:space="preserve">Abdoulaye Sow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394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323"/>
                <w:sz w:val="19"/>
                <w:szCs w:val="19"/>
              </w:rPr>
              <w:t xml:space="preserve">Nadia Traoré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394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323"/>
                <w:sz w:val="19"/>
                <w:szCs w:val="19"/>
              </w:rPr>
              <w:t xml:space="preserve">Karim Fofana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  <w:tc>
          <w:tcPr>
            <w:tcW w:type="dxa" w:w="394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323"/>
          <w:sz w:val="21"/>
          <w:szCs w:val="21"/>
        </w:rPr>
        <w:t xml:space="preserve">Comparez ensuite vos réponses avec l'analyse comparative de 07-etude-de-cas.md — l'objectif n'est pas de deviner la « bonne » réponse mais de vous entraîner à repérer les critères déterminants avant de les appliquer à votre propre cas dans la Partie B.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B — Positionnez-vous vous-même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323"/>
          <w:sz w:val="21"/>
          <w:szCs w:val="21"/>
        </w:rPr>
        <w:t xml:space="preserve">Répondez honnêtement, sur VOTRE situation réelle aujourd'hui (pas celle que vous aimeriez avoir dans un an)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323"/>
          <w:sz w:val="21"/>
          <w:szCs w:val="21"/>
        </w:rPr>
        <w:t xml:space="preserve">Temps disponible par semaine en dehors de mes obligations actuelles, pour une activité de valorisation IA :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323"/>
          <w:sz w:val="21"/>
          <w:szCs w:val="21"/>
        </w:rPr>
        <w:t xml:space="preserve">Tolérance au risque financier aujourd'hui (faible / moyenne / élevée), et pourquoi :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323"/>
          <w:sz w:val="21"/>
          <w:szCs w:val="21"/>
        </w:rPr>
        <w:t xml:space="preserve">Besoin de revenu immédiat (dans les 90 jours) : oui / non — si oui, pourquoi précisément :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323"/>
          <w:sz w:val="21"/>
          <w:szCs w:val="21"/>
        </w:rPr>
        <w:t xml:space="preserve">Voie que je choisis en priorité (salariat augmenté / freelance / produit digital) :</w:t>
      </w:r>
    </w:p>
    <w:p>
      <w:pPr>
        <w:pBdr>
          <w:bottom w:val="single" w:color="C9C0D6" w:sz="4" w:space="1"/>
        </w:pBdr>
        <w:spacing w:after="2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C — Premier jet de pitch ou d'offre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323"/>
          <w:sz w:val="21"/>
          <w:szCs w:val="21"/>
        </w:rPr>
        <w:t xml:space="preserve">Selon la voie choisie en Partie B, rédigez un premier jet (5-10 minutes, ne cherchez pas la perfection) 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Si salariat augmenté : ébauchez les 4 blocs du pitch interne (problème / solution Claude / gain chiffré / prochaine étape) pour un projet pilote dans votre service.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Si freelance : rédigez en 2-3 phrases l'offre que vous proposeriez à un client existant, en langage résultat (pas « je fais de l'IA »).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Si produit digital : identifiez le savoir-faire que vous transformeriez en produit, et le format le plus rapide à construire (template, pack de prompts, mini-formation, automatisation en marque blanche).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C9C0D6" w:sz="4" w:space="1"/>
        </w:pBdr>
        <w:spacing w:after="2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D — Choisissez votre premier post LinkedIn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323"/>
          <w:sz w:val="21"/>
          <w:szCs w:val="21"/>
        </w:rPr>
        <w:t xml:space="preserve">Parmi les 4 formats de 04-lecon-ecrite-complete.md (Partie 3), lequel allez-vous publier sous 48h ?</w:t>
      </w:r>
    </w:p>
    <w:p>
      <w:pPr>
        <w:pBdr>
          <w:bottom w:val="single" w:color="C9C0D6" w:sz="4" w:space="1"/>
        </w:pBdr>
        <w:spacing w:after="2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323"/>
          <w:sz w:val="21"/>
          <w:szCs w:val="21"/>
        </w:rPr>
        <w:t xml:space="preserve">Notez ici les 2-3 éléments réels que vous y intégrerez (une situation avant/après, un chiffre, une tâche automatisée) — vous les développerez dans le défi en autonomie.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C9C0D6" w:sz="4" w:space="1"/>
        </w:pBdr>
        <w:spacing w:after="20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CEC" w:sz="4" w:space="4"/>
      </w:pBdr>
      <w:jc w:val="center"/>
    </w:pPr>
    <w:r>
      <w:rPr>
        <w:rFonts w:ascii="Arial" w:cs="Arial" w:eastAsia="Arial" w:hAnsi="Arial"/>
        <w:color w:val="5A5568"/>
        <w:sz w:val="16"/>
        <w:szCs w:val="16"/>
      </w:rPr>
      <w:t xml:space="preserve">Claude AI Mastery 2.0 — Module 6 — Exercice guidé  •  Page </w:t>
    </w:r>
    <w:r>
      <w:rPr>
        <w:rFonts w:ascii="Arial" w:cs="Arial" w:eastAsia="Arial" w:hAnsi="Arial"/>
        <w:color w:val="5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568"/>
        <w:sz w:val="16"/>
        <w:szCs w:val="16"/>
      </w:rPr>
      <w:t xml:space="preserve"> / </w:t>
    </w:r>
    <w:r>
      <w:rPr>
        <w:rFonts w:ascii="Arial" w:cs="Arial" w:eastAsia="Arial" w:hAnsi="Arial"/>
        <w:color w:val="5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88"/>
      </w:pPr>
      <w:rPr>
        <w:rFonts w:ascii="Arial" w:cs="Arial" w:eastAsia="Arial" w:hAnsi="Arial"/>
        <w:color w:val="E0684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03"/>
      </w:pPr>
      <w:rPr>
        <w:rFonts w:ascii="Arial" w:cs="Arial" w:eastAsia="Arial" w:hAnsi="Arial"/>
        <w:b/>
        <w:bCs/>
        <w:color w:val="7530A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2026-08-11T05:56:17.928Z</dcterms:created>
  <dcterms:modified xsi:type="dcterms:W3CDTF">2026-08-11T05:56:17.933Z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