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E06840" w:sz="12" w:space="6"/>
        </w:pBdr>
        <w:spacing w:after="80"/>
      </w:pPr>
      <w:r>
        <w:rPr>
          <w:rFonts w:ascii="Arial" w:cs="Arial" w:eastAsia="Arial" w:hAnsi="Arial"/>
          <w:b/>
          <w:bCs/>
          <w:color w:val="7530AA"/>
          <w:sz w:val="40"/>
          <w:szCs w:val="40"/>
        </w:rPr>
        <w:t xml:space="preserve">Corrigé commenté — Exercice guidé Module 6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5A5568"/>
          <w:sz w:val="21"/>
          <w:szCs w:val="21"/>
        </w:rPr>
        <w:t xml:space="preserve">À utiliser par l'animateur pendant ou après le bloc pratique guidée (20-25 minutes).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A — Réponses attendues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100"/>
        <w:gridCol w:w="2200"/>
        <w:gridCol w:w="3940"/>
      </w:tblGrid>
      <w:tr>
        <w:trPr>
          <w:tblHeader/>
        </w:trPr>
        <w:tc>
          <w:tcPr>
            <w:tcW w:type="dxa" w:w="16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21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 disponible/semaine</w:t>
            </w:r>
          </w:p>
        </w:tc>
        <w:tc>
          <w:tcPr>
            <w:tcW w:type="dxa" w:w="21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Tolérance au risque</w:t>
            </w:r>
          </w:p>
        </w:tc>
        <w:tc>
          <w:tcPr>
            <w:tcW w:type="dxa" w:w="21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Besoin de revenu immédiat</w:t>
            </w:r>
          </w:p>
        </w:tc>
        <w:tc>
          <w:tcPr>
            <w:tcW w:type="dxa" w:w="220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Voie recommandée</w:t>
            </w:r>
          </w:p>
        </w:tc>
        <w:tc>
          <w:tcPr>
            <w:tcW w:type="dxa" w:w="3940"/>
            <w:shd w:fill="1A132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c>
          <w:tcPr>
            <w:tcW w:type="dxa" w:w="16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323"/>
                <w:sz w:val="19"/>
                <w:szCs w:val="19"/>
              </w:rPr>
              <w:t xml:space="preserve">Abdoulaye Sow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Faible — CDI à temps plein, 3 enfants à charge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Faible — le salaire fait vivre le foyer, aucune marge pour un risque financier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Non — revenu stable déjà en place, l'objectif est la reconnaissance/évolution, pas un revenu supplémentaire immédiat</w:t>
            </w:r>
          </w:p>
        </w:tc>
        <w:tc>
          <w:tcPr>
            <w:tcW w:type="dxa" w:w="22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Salariat augmenté</w:t>
            </w:r>
          </w:p>
        </w:tc>
        <w:tc>
          <w:tcPr>
            <w:tcW w:type="dxa" w:w="394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Le critère déterminant n'est pas sa compétence (réelle et transférable) mais sa faible tolérance au risque combinée à un temps quasi nul en dehors de son poste</w:t>
            </w:r>
          </w:p>
        </w:tc>
      </w:tr>
      <w:tr>
        <w:tc>
          <w:tcPr>
            <w:tcW w:type="dxa" w:w="16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323"/>
                <w:sz w:val="19"/>
                <w:szCs w:val="19"/>
              </w:rPr>
              <w:t xml:space="preserve">Nadia Traoré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Moyen à élevé — gère déjà son propre emploi du temps en freelance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Moyenne à élevée — a déjà quitté un poste stable, le risque ne l'arrête pas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Oui — revenu encore instable après seulement 4 mois de freelance</w:t>
            </w:r>
          </w:p>
        </w:tc>
        <w:tc>
          <w:tcPr>
            <w:tcW w:type="dxa" w:w="22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Freelance</w:t>
            </w:r>
          </w:p>
        </w:tc>
        <w:tc>
          <w:tcPr>
            <w:tcW w:type="dxa" w:w="394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Elle a déjà 2 clients existants à qui proposer une offre packagée sans prospection à froid — le chemin le plus direct vers un revenu sous 90 jours</w:t>
            </w:r>
          </w:p>
        </w:tc>
      </w:tr>
      <w:tr>
        <w:tc>
          <w:tcPr>
            <w:tcW w:type="dxa" w:w="16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323"/>
                <w:sz w:val="19"/>
                <w:szCs w:val="19"/>
              </w:rPr>
              <w:t xml:space="preserve">Karim Fofana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Élevé — a quitté son emploi il y a 8 mois, dispose de temps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Élevée — a déjà assumé un risque important en démissionnant</w:t>
            </w:r>
          </w:p>
        </w:tc>
        <w:tc>
          <w:tcPr>
            <w:tcW w:type="dxa" w:w="21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Non — dispose d'économies pour tenir plusieurs mois, pas de pression de trésorerie immédiate</w:t>
            </w:r>
          </w:p>
        </w:tc>
        <w:tc>
          <w:tcPr>
            <w:tcW w:type="dxa" w:w="220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Produit digital</w:t>
            </w:r>
          </w:p>
        </w:tc>
        <w:tc>
          <w:tcPr>
            <w:tcW w:type="dxa" w:w="3940"/>
            <w:tcBorders>
              <w:top w:val="single" w:color="E3DCEC" w:sz="4"/>
              <w:left w:val="single" w:color="E3DCEC" w:sz="4"/>
              <w:bottom w:val="single" w:color="E3DCEC" w:sz="4"/>
              <w:right w:val="single" w:color="E3DCEC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323"/>
                <w:sz w:val="19"/>
                <w:szCs w:val="19"/>
              </w:rPr>
              <w:t xml:space="preserve">Son profil correspond exactement au cas où investir du temps maintenant pour un actif scalable a du sens, plutôt que de vendre son temps à l'heure</w:t>
            </w:r>
          </w:p>
        </w:tc>
      </w:tr>
    </w:tbl>
    <w:p>
      <w:pPr>
        <w:spacing w:after="0" w:before="2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E9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6840"/>
                <w:sz w:val="20"/>
                <w:szCs w:val="20"/>
              </w:rPr>
              <w:t xml:space="preserve">PIÈGE FRÉQUENT À SURVEILLER (CÔTÉ ANIMATEUR)</w:t>
            </w:r>
          </w:p>
          <w:p>
            <w:r>
              <w:rPr>
                <w:rFonts w:ascii="Arial" w:cs="Arial" w:eastAsia="Arial" w:hAnsi="Arial"/>
                <w:color w:val="1A1323"/>
                <w:sz w:val="21"/>
                <w:szCs w:val="21"/>
              </w:rPr>
              <w:t xml:space="preserve">Beaucoup de participants recommandent spontanément « freelance » aux 3 profils, parce que c'est la voie la plus visible/évidente dans l'imaginaire « consultant IA ». L'occasion de rappeler que la compétence technique des 3 profils est comparable — c'est leur situation personnelle, pas leur savoir-faire, qui doit trancher.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B — Points de vérification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Une réponse « je ne sais pas combien de temps j'ai disponible » à la question 1 est un signal à ne pas ignorer : cela veut souvent dire que le participant n'a pas encore décidé s'il est prêt à investir du temps hors de son activité principale — creuser cette hésitation avant de trancher une voie.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La tolérance au risque n'est pas une donnée fixe : elle dépend de la situation familiale, de l'existence d'une épargne de sécurité, du nombre de dépendants — pas d'un trait de personnalité générique (« je suis quelqu'un qui prend des risques »).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Un « besoin de revenu immédiat : oui » sans montant ni délai précis reste vague — encourager une reformulation avec un ordre de grandeur (ex. « j'ai besoin de 100 000 FCFA supplémentaires par mois sous 3 mois »).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C — Exemples de bonnes réponses (pour s'inspirer, pas pour copier)</w:t>
      </w:r>
    </w:p>
    <w:p>
      <w:pPr>
        <w:spacing w:after="90" w:before="160"/>
      </w:pPr>
      <w:r>
        <w:rPr>
          <w:rFonts w:ascii="Arial" w:cs="Arial" w:eastAsia="Arial" w:hAnsi="Arial"/>
          <w:b/>
          <w:bCs/>
          <w:color w:val="7530AA"/>
          <w:sz w:val="23"/>
          <w:szCs w:val="23"/>
        </w:rPr>
        <w:t xml:space="preserve">Salariat augmenté (exemple)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A1323"/>
          <w:sz w:val="21"/>
          <w:szCs w:val="21"/>
        </w:rPr>
        <w:t xml:space="preserve">« Problème : je passe 5h/semaine à consolider à la main un tableau de suivi RH pour 3 sites différents. Solution : une automatisation testée sur mon propre périmètre depuis 2 semaines. Gain chiffré : environ 250h/an récupérées sur l'équipe RH. Prochaine étape : présentation à mon N+1 le 15 septembre. »</w:t>
      </w:r>
    </w:p>
    <w:p>
      <w:pPr>
        <w:spacing w:after="90" w:before="160"/>
      </w:pPr>
      <w:r>
        <w:rPr>
          <w:rFonts w:ascii="Arial" w:cs="Arial" w:eastAsia="Arial" w:hAnsi="Arial"/>
          <w:b/>
          <w:bCs/>
          <w:color w:val="7530AA"/>
          <w:sz w:val="23"/>
          <w:szCs w:val="23"/>
        </w:rPr>
        <w:t xml:space="preserve">Freelance (exemple)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A1323"/>
          <w:sz w:val="21"/>
          <w:szCs w:val="21"/>
        </w:rPr>
        <w:t xml:space="preserve">« Je transforme votre suivi de trésorerie hebdomadaire, actuellement fait à la main, en rapport automatique envoyé chaque lundi matin — sans que vous ayez à me solliciter. »</w:t>
      </w:r>
    </w:p>
    <w:p>
      <w:pPr>
        <w:spacing w:after="90" w:before="160"/>
      </w:pPr>
      <w:r>
        <w:rPr>
          <w:rFonts w:ascii="Arial" w:cs="Arial" w:eastAsia="Arial" w:hAnsi="Arial"/>
          <w:b/>
          <w:bCs/>
          <w:color w:val="7530AA"/>
          <w:sz w:val="23"/>
          <w:szCs w:val="23"/>
        </w:rPr>
        <w:t xml:space="preserve">Produit digital (exemple)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/>
          <w:iCs/>
          <w:color w:val="1A1323"/>
          <w:sz w:val="21"/>
          <w:szCs w:val="21"/>
        </w:rPr>
        <w:t xml:space="preserve">« Mon savoir-faire en négociation commerciale + mes prompts de relance client → un pack de 20 prompts de négociation, vendu 12 000 FCFA sur Selar, complété par une courte vidéo d'explication. »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323"/>
          <w:sz w:val="27"/>
          <w:szCs w:val="27"/>
        </w:rPr>
        <w:t xml:space="preserve">Partie D — Points de vérification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Le format choisi compte moins que l'action de publier effectivement — rappeler que le défi en autonomie vérifie une publication réelle, pas seulement un brouillon.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323"/>
          <w:sz w:val="21"/>
          <w:szCs w:val="21"/>
        </w:rPr>
        <w:t xml:space="preserve">Si un participant hésite entre 2 formats, recommander de commencer par « Avant/Après » : c'est le format le plus simple à rédiger à partir d'éléments déjà écrits dans son Portfolio (Section 0).</w:t>
      </w:r>
    </w:p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CEC" w:sz="4" w:space="4"/>
      </w:pBdr>
      <w:jc w:val="center"/>
    </w:pPr>
    <w:r>
      <w:rPr>
        <w:rFonts w:ascii="Arial" w:cs="Arial" w:eastAsia="Arial" w:hAnsi="Arial"/>
        <w:color w:val="5A5568"/>
        <w:sz w:val="16"/>
        <w:szCs w:val="16"/>
      </w:rPr>
      <w:t xml:space="preserve">Claude AI Mastery 2.0 — Module 6 — Corrigé commenté  •  Page </w:t>
    </w:r>
    <w:r>
      <w:rPr>
        <w:rFonts w:ascii="Arial" w:cs="Arial" w:eastAsia="Arial" w:hAnsi="Arial"/>
        <w:color w:val="5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568"/>
        <w:sz w:val="16"/>
        <w:szCs w:val="16"/>
      </w:rPr>
      <w:t xml:space="preserve"> / </w:t>
    </w:r>
    <w:r>
      <w:rPr>
        <w:rFonts w:ascii="Arial" w:cs="Arial" w:eastAsia="Arial" w:hAnsi="Arial"/>
        <w:color w:val="5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88"/>
      </w:pPr>
      <w:rPr>
        <w:rFonts w:ascii="Arial" w:cs="Arial" w:eastAsia="Arial" w:hAnsi="Arial"/>
        <w:color w:val="E0684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03"/>
      </w:pPr>
      <w:rPr>
        <w:rFonts w:ascii="Arial" w:cs="Arial" w:eastAsia="Arial" w:hAnsi="Arial"/>
        <w:b/>
        <w:bCs/>
        <w:color w:val="7530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2026-08-11T06:01:38.032Z</dcterms:created>
  <dcterms:modified xsi:type="dcterms:W3CDTF">2026-08-11T06:01:38.039Z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