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21821"/>
          <w:sz w:val="40"/>
          <w:szCs w:val="40"/>
        </w:rPr>
        <w:t xml:space="preserve">AfriMarket</w:t>
      </w:r>
    </w:p>
    <w:p>
      <w:pPr>
        <w:spacing w:after="200"/>
      </w:pPr>
      <w:r>
        <w:rPr>
          <w:color w:val="4A5568"/>
          <w:sz w:val="24"/>
          <w:szCs w:val="24"/>
        </w:rPr>
        <w:t xml:space="preserve">Résumé exécutif — Analyse stratégique des données (6 mois)</w:t>
      </w:r>
    </w:p>
    <w:p>
      <w:pPr>
        <w:pBdr>
          <w:bottom w:val="single" w:color="D97757" w:sz="12" w:space="4"/>
        </w:pBdr>
        <w:spacing w:after="2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c>
          <w:tcPr>
            <w:tcW w:type="dxa" w:w="1900"/>
            <w:shd w:fill="F5EFEA" w:val="clear"/>
            <w:tcMar>
              <w:top w:type="dxa" w:w="120"/>
              <w:left w:type="dxa" w:w="120"/>
              <w:bottom w:type="dxa" w:w="120"/>
              <w:right w:type="dxa" w:w="120"/>
            </w:tcMar>
          </w:tcPr>
          <w:p>
            <w:pPr>
              <w:jc w:val="center"/>
            </w:pPr>
            <w:r>
              <w:rPr>
                <w:b/>
                <w:bCs/>
                <w:color w:val="D97757"/>
                <w:sz w:val="26"/>
                <w:szCs w:val="26"/>
              </w:rPr>
              <w:t xml:space="preserve">2 573 516 $</w:t>
            </w:r>
          </w:p>
          <w:p>
            <w:pPr>
              <w:jc w:val="center"/>
            </w:pPr>
            <w:r>
              <w:rPr>
                <w:color w:val="4A5568"/>
                <w:sz w:val="18"/>
                <w:szCs w:val="18"/>
              </w:rPr>
              <w:t xml:space="preserve">CA total</w:t>
            </w:r>
          </w:p>
        </w:tc>
        <w:tc>
          <w:tcPr>
            <w:tcW w:type="dxa" w:w="1900"/>
            <w:shd w:fill="F5EFEA" w:val="clear"/>
            <w:tcMar>
              <w:top w:type="dxa" w:w="120"/>
              <w:left w:type="dxa" w:w="120"/>
              <w:bottom w:type="dxa" w:w="120"/>
              <w:right w:type="dxa" w:w="120"/>
            </w:tcMar>
          </w:tcPr>
          <w:p>
            <w:pPr>
              <w:jc w:val="center"/>
            </w:pPr>
            <w:r>
              <w:rPr>
                <w:b/>
                <w:bCs/>
                <w:color w:val="D97757"/>
                <w:sz w:val="26"/>
                <w:szCs w:val="26"/>
              </w:rPr>
              <w:t xml:space="preserve">954 925 $</w:t>
            </w:r>
          </w:p>
          <w:p>
            <w:pPr>
              <w:jc w:val="center"/>
            </w:pPr>
            <w:r>
              <w:rPr>
                <w:color w:val="4A5568"/>
                <w:sz w:val="18"/>
                <w:szCs w:val="18"/>
              </w:rPr>
              <w:t xml:space="preserve">Profit net estimé</w:t>
            </w:r>
          </w:p>
        </w:tc>
        <w:tc>
          <w:tcPr>
            <w:tcW w:type="dxa" w:w="1900"/>
            <w:shd w:fill="F5EFEA" w:val="clear"/>
            <w:tcMar>
              <w:top w:type="dxa" w:w="120"/>
              <w:left w:type="dxa" w:w="120"/>
              <w:bottom w:type="dxa" w:w="120"/>
              <w:right w:type="dxa" w:w="120"/>
            </w:tcMar>
          </w:tcPr>
          <w:p>
            <w:pPr>
              <w:jc w:val="center"/>
            </w:pPr>
            <w:r>
              <w:rPr>
                <w:b/>
                <w:bCs/>
                <w:color w:val="D97757"/>
                <w:sz w:val="26"/>
                <w:szCs w:val="26"/>
              </w:rPr>
              <w:t xml:space="preserve">274 $</w:t>
            </w:r>
          </w:p>
          <w:p>
            <w:pPr>
              <w:jc w:val="center"/>
            </w:pPr>
            <w:r>
              <w:rPr>
                <w:color w:val="4A5568"/>
                <w:sz w:val="18"/>
                <w:szCs w:val="18"/>
              </w:rPr>
              <w:t xml:space="preserve">Panier moyen</w:t>
            </w:r>
          </w:p>
        </w:tc>
        <w:tc>
          <w:tcPr>
            <w:tcW w:type="dxa" w:w="1900"/>
            <w:shd w:fill="F5EFEA" w:val="clear"/>
            <w:tcMar>
              <w:top w:type="dxa" w:w="120"/>
              <w:left w:type="dxa" w:w="120"/>
              <w:bottom w:type="dxa" w:w="120"/>
              <w:right w:type="dxa" w:w="120"/>
            </w:tcMar>
          </w:tcPr>
          <w:p>
            <w:pPr>
              <w:jc w:val="center"/>
            </w:pPr>
            <w:r>
              <w:rPr>
                <w:b/>
                <w:bCs/>
                <w:color w:val="D97757"/>
                <w:sz w:val="26"/>
                <w:szCs w:val="26"/>
              </w:rPr>
              <w:t xml:space="preserve">1,9 %</w:t>
            </w:r>
          </w:p>
          <w:p>
            <w:pPr>
              <w:jc w:val="center"/>
            </w:pPr>
            <w:r>
              <w:rPr>
                <w:color w:val="4A5568"/>
                <w:sz w:val="18"/>
                <w:szCs w:val="18"/>
              </w:rPr>
              <w:t xml:space="preserve">Taux d'annulation</w:t>
            </w:r>
          </w:p>
        </w:tc>
        <w:tc>
          <w:tcPr>
            <w:tcW w:type="dxa" w:w="1900"/>
            <w:shd w:fill="F5EFEA" w:val="clear"/>
            <w:tcMar>
              <w:top w:type="dxa" w:w="120"/>
              <w:left w:type="dxa" w:w="120"/>
              <w:bottom w:type="dxa" w:w="120"/>
              <w:right w:type="dxa" w:w="120"/>
            </w:tcMar>
          </w:tcPr>
          <w:p>
            <w:pPr>
              <w:jc w:val="center"/>
            </w:pPr>
            <w:r>
              <w:rPr>
                <w:b/>
                <w:bCs/>
                <w:color w:val="D97757"/>
                <w:sz w:val="26"/>
                <w:szCs w:val="26"/>
              </w:rPr>
              <w:t xml:space="preserve">8,1 %</w:t>
            </w:r>
          </w:p>
          <w:p>
            <w:pPr>
              <w:jc w:val="center"/>
            </w:pPr>
            <w:r>
              <w:rPr>
                <w:color w:val="4A5568"/>
                <w:sz w:val="18"/>
                <w:szCs w:val="18"/>
              </w:rPr>
              <w:t xml:space="preserve">Taux de retour</w:t>
            </w:r>
          </w:p>
        </w:tc>
      </w:tr>
    </w:tbl>
    <w:p>
      <w:pPr>
        <w:spacing w:after="100" w:before="280"/>
      </w:pPr>
      <w:r>
        <w:rPr>
          <w:b/>
          <w:bCs/>
          <w:color w:val="121821"/>
          <w:sz w:val="26"/>
          <w:szCs w:val="26"/>
        </w:rPr>
        <w:t xml:space="preserve">Synthèse</w:t>
      </w:r>
    </w:p>
    <w:p>
      <w:pPr>
        <w:spacing w:after="160"/>
      </w:pPr>
      <w:r>
        <w:rPr>
          <w:sz w:val="21"/>
          <w:szCs w:val="21"/>
        </w:rPr>
        <w:t xml:space="preserve">Sur la période analysée (juillet–décembre 2025), AfriMarket a généré un chiffre d'affaires total d'environ 2 573 500 $ pour un profit net estimé de 955 000 $, avec un panier moyen de 274 $. Le taux d'annulation global (1,9 %) est bas, mais cache une anomalie géographique majeure : il grimpe à environ 13 % à Douala, contre un niveau proche de zéro partout ailleurs. Le taux de retour (8,1 %) est concentré sur la catégorie Électronique (13,8 %), qui représente à elle seule près de 75 % du chiffre d'affaires total.</w:t>
      </w:r>
    </w:p>
    <w:p>
      <w:pPr>
        <w:spacing w:after="160"/>
      </w:pPr>
      <w:r>
        <w:rPr>
          <w:sz w:val="21"/>
          <w:szCs w:val="21"/>
        </w:rPr>
        <w:t xml:space="preserve">Géographiquement, Kinshasa reste le marché le plus important (759 000 $ de CA), mais Douala illustre qu'un CA élevé peut masquer un problème opérationnel local sérieux qui mérite une investigation immédiate.</w:t>
      </w:r>
    </w:p>
    <w:p>
      <w:pPr>
        <w:spacing w:after="160"/>
      </w:pPr>
      <w:r>
        <w:rPr>
          <w:sz w:val="21"/>
          <w:szCs w:val="21"/>
        </w:rPr>
        <w:t xml:space="preserve">Côté marketing, Google Ads combine le meilleur équilibre volume/ROI parmi les canaux analysés, tandis qu'Instagram Ads génère le plus gros volume de CA mais avec le ROI le plus faible, et qu'Email affiche le ROI le plus élevé mais sur un volume de CA limité.</w:t>
      </w:r>
    </w:p>
    <w:p>
      <w:pPr>
        <w:spacing w:after="200"/>
      </w:pPr>
      <w:r>
        <w:rPr>
          <w:sz w:val="21"/>
          <w:szCs w:val="21"/>
        </w:rPr>
        <w:t xml:space="preserve">Enfin, l'analyse clients montre une base déjà fidèle (74 % de clients récurrents), avec environ 32 % des clients générant 80 % du chiffre d'affaires (loi de Pareto) — l'enjeu de rétention porte donc surtout sur la conversion des clients « Réguliers » en « VIP ».</w:t>
      </w:r>
    </w:p>
    <w:p>
      <w:pPr>
        <w:spacing w:after="100" w:before="120"/>
      </w:pPr>
      <w:r>
        <w:rPr>
          <w:b/>
          <w:bCs/>
          <w:color w:val="121821"/>
          <w:sz w:val="26"/>
          <w:szCs w:val="26"/>
        </w:rPr>
        <w:t xml:space="preserve">5 recommandations stratégiques</w:t>
      </w:r>
    </w:p>
    <w:p>
      <w:pPr>
        <w:pStyle w:val="ListParagraph"/>
        <w:numPr>
          <w:ilvl w:val="0"/>
          <w:numId w:val="2"/>
        </w:numPr>
        <w:spacing w:after="100"/>
      </w:pPr>
      <w:r>
        <w:rPr>
          <w:sz w:val="21"/>
          <w:szCs w:val="21"/>
        </w:rPr>
        <w:t xml:space="preserve">Investiguer en urgence l'anomalie d'annulation à Douala (~13 % contre ~0-2 % ailleurs) : c'est le signal le plus actionnable de toute l'analyse.</w:t>
      </w:r>
    </w:p>
    <w:p>
      <w:pPr>
        <w:pStyle w:val="ListParagraph"/>
        <w:numPr>
          <w:ilvl w:val="0"/>
          <w:numId w:val="2"/>
        </w:numPr>
        <w:spacing w:after="100"/>
      </w:pPr>
      <w:r>
        <w:rPr>
          <w:sz w:val="21"/>
          <w:szCs w:val="21"/>
        </w:rPr>
        <w:t xml:space="preserve">Auditer la qualité produit en Électronique : cette catégorie porte ~75 % du CA mais aussi le taux de retour le plus élevé.</w:t>
      </w:r>
    </w:p>
    <w:p>
      <w:pPr>
        <w:pStyle w:val="ListParagraph"/>
        <w:numPr>
          <w:ilvl w:val="0"/>
          <w:numId w:val="2"/>
        </w:numPr>
        <w:spacing w:after="100"/>
      </w:pPr>
      <w:r>
        <w:rPr>
          <w:sz w:val="21"/>
          <w:szCs w:val="21"/>
        </w:rPr>
        <w:t xml:space="preserve">Prioriser Google Ads pour un investissement marketing additionnel (bon ROI et volume conséquent), et optimiser le ciblage d'Instagram Ads plutôt que réduire son budget.</w:t>
      </w:r>
    </w:p>
    <w:p>
      <w:pPr>
        <w:pStyle w:val="ListParagraph"/>
        <w:numPr>
          <w:ilvl w:val="0"/>
          <w:numId w:val="2"/>
        </w:numPr>
        <w:spacing w:after="100"/>
      </w:pPr>
      <w:r>
        <w:rPr>
          <w:sz w:val="21"/>
          <w:szCs w:val="21"/>
        </w:rPr>
        <w:t xml:space="preserve">Lancer un programme de fidélisation ciblé sur le segment « Régulier » pour le faire basculer en VIP.</w:t>
      </w:r>
    </w:p>
    <w:p>
      <w:pPr>
        <w:pStyle w:val="ListParagraph"/>
        <w:numPr>
          <w:ilvl w:val="0"/>
          <w:numId w:val="2"/>
        </w:numPr>
        <w:spacing w:after="100"/>
      </w:pPr>
      <w:r>
        <w:rPr>
          <w:sz w:val="21"/>
          <w:szCs w:val="21"/>
        </w:rPr>
        <w:t xml:space="preserve">Mettre en place un contrôle de saisie côté CRM/formulaire (villes, catégories, prix, remises) pour éviter la répétition des incohérences détectées lors de l'audit.</w:t>
      </w:r>
    </w:p>
    <w:p>
      <w:pPr>
        <w:spacing w:after="100" w:before="200"/>
      </w:pPr>
      <w:r>
        <w:rPr>
          <w:b/>
          <w:bCs/>
          <w:color w:val="121821"/>
          <w:sz w:val="26"/>
          <w:szCs w:val="26"/>
        </w:rPr>
        <w:t xml:space="preserve">Conclusion</w:t>
      </w:r>
    </w:p>
    <w:p>
      <w:r>
        <w:rPr>
          <w:sz w:val="21"/>
          <w:szCs w:val="21"/>
        </w:rPr>
        <w:t xml:space="preserve">AfriMarket dispose d'une base clients fidèle et d'un canal e-commerce rentable. Les prochaines actions doivent viser la résolution du problème opérationnel localisé à Douala et la qualité produit en Électronique, plus que la seule acquisition de nouveaux clients.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2026-07-16T01:16:20.750Z</dcterms:created>
  <dcterms:modified xsi:type="dcterms:W3CDTF">2026-07-16T01:16:20.750Z</dcterms:modified>
</cp:coreProperties>
</file>

<file path=docProps/custom.xml><?xml version="1.0" encoding="utf-8"?>
<Properties xmlns="http://schemas.openxmlformats.org/officeDocument/2006/custom-properties" xmlns:vt="http://schemas.openxmlformats.org/officeDocument/2006/docPropsVTypes"/>
</file>