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UNIVERSIDAD PERUANA LOS ANDES (UPLA)</w:t>
        <w:br/>
      </w:r>
    </w:p>
    <w:p>
      <w:pPr>
        <w:jc w:val="center"/>
      </w:pPr>
      <w:r>
        <w:rPr>
          <w:b/>
        </w:rPr>
        <w:t>FACULTAD DE INGENIERÍA DE SISTEMAS Y COMPUTACIÓN</w:t>
        <w:br/>
      </w:r>
    </w:p>
    <w:p>
      <w:pPr>
        <w:jc w:val="center"/>
      </w:pPr>
      <w:r>
        <w:t>PROGRAMA ACADÉMICO: INGENIERÍA DE SISTEMAS Y COMPUTACIÓN</w:t>
        <w:br/>
      </w:r>
    </w:p>
    <w:p/>
    <w:p>
      <w:pPr>
        <w:jc w:val="center"/>
      </w:pPr>
      <w:r>
        <w:rPr>
          <w:b/>
        </w:rPr>
        <w:t>Plataforma de Inteligencia Documental con IA para Análisis Estadístico y Generación Automática de Informes</w:t>
      </w:r>
    </w:p>
    <w:p/>
    <w:p>
      <w:pPr>
        <w:jc w:val="center"/>
      </w:pPr>
      <w:r>
        <w:rPr>
          <w:b/>
        </w:rPr>
        <w:t>TESIS</w:t>
      </w:r>
    </w:p>
    <w:p>
      <w:pPr>
        <w:jc w:val="center"/>
      </w:pPr>
      <w:r>
        <w:t>Para optar el Título Profesional de Ingeniero de Sistemas y Computación</w:t>
      </w:r>
    </w:p>
    <w:p/>
    <w:p>
      <w:pPr>
        <w:jc w:val="center"/>
      </w:pPr>
      <w:r>
        <w:t>Autor: Oscar Salas Contreras</w:t>
      </w:r>
    </w:p>
    <w:p>
      <w:pPr>
        <w:jc w:val="center"/>
      </w:pPr>
      <w:r>
        <w:t>Asesor: Carlos Burgos</w:t>
      </w:r>
    </w:p>
    <w:p/>
    <w:p>
      <w:pPr>
        <w:jc w:val="center"/>
      </w:pPr>
      <w:r>
        <w:t>Huancayo, 2025</w:t>
      </w:r>
    </w:p>
    <w:p>
      <w:r>
        <w:br w:type="page"/>
      </w:r>
    </w:p>
    <w:p>
      <w:pPr>
        <w:pStyle w:val="Heading1"/>
      </w:pPr>
      <w:r>
        <w:t>Tabla de contenidos</w:t>
      </w:r>
    </w:p>
    <w:p>
      <w:r>
        <w:fldChar w:fldCharType="begin"/>
        <w:instrText xml:space="preserve">TOC \o "1-3" \h \z \u</w:instrText>
        <w:fldChar w:fldCharType="end"/>
      </w:r>
    </w:p>
    <w:p>
      <w:r>
        <w:br w:type="page"/>
      </w:r>
    </w:p>
    <w:p>
      <w:pPr>
        <w:pStyle w:val="Heading1"/>
      </w:pPr>
      <w:r>
        <w:t>Lista de Figuras</w:t>
      </w:r>
    </w:p>
    <w:p>
      <w:r>
        <w:fldChar w:fldCharType="begin"/>
        <w:instrText xml:space="preserve">TOC \h \z \c "Figure"</w:instrText>
        <w:fldChar w:fldCharType="end"/>
      </w:r>
    </w:p>
    <w:p>
      <w:r>
        <w:br w:type="page"/>
      </w:r>
    </w:p>
    <w:p>
      <w:pPr>
        <w:pStyle w:val="Heading1"/>
      </w:pPr>
      <w:r>
        <w:t>Lista de Tablas</w:t>
      </w:r>
    </w:p>
    <w:p>
      <w:r>
        <w:fldChar w:fldCharType="begin"/>
        <w:instrText xml:space="preserve">TOC \h \z \c "Table"</w:instrText>
        <w:fldChar w:fldCharType="end"/>
      </w:r>
    </w:p>
    <w:p>
      <w:r>
        <w:br w:type="page"/>
      </w:r>
    </w:p>
    <w:p>
      <w:pPr>
        <w:pStyle w:val="Heading1"/>
      </w:pPr>
      <w:r>
        <w:t>Declaración de originalidad</w:t>
      </w:r>
    </w:p>
    <w:p>
      <w:r>
        <w:t>El presente trabajo es original y no ha sido presentado previamente para la obtención de un grado o título. Las fuentes consultadas se citan conforme a APA 7.</w:t>
      </w:r>
    </w:p>
    <w:p>
      <w:pPr>
        <w:pStyle w:val="Heading1"/>
      </w:pPr>
      <w:r>
        <w:t>Agradecimientos</w:t>
      </w:r>
    </w:p>
    <w:p>
      <w:r>
        <w:t>A la UPLA, a la Facultad y al asesor por su orientación; y a los usuarios piloto por su participación en la validación del sistema.</w:t>
      </w:r>
    </w:p>
    <w:p>
      <w:pPr>
        <w:pStyle w:val="Heading1"/>
      </w:pPr>
      <w:r>
        <w:t>Dedicatoria</w:t>
      </w:r>
    </w:p>
    <w:p>
      <w:r>
        <w:t>A mi familia, por su apoyo incondicional.</w:t>
      </w:r>
    </w:p>
    <w:p>
      <w:pPr>
        <w:pStyle w:val="Heading1"/>
      </w:pPr>
      <w:r>
        <w:t>Resumen</w:t>
      </w:r>
    </w:p>
    <w:p>
      <w:r>
        <w:t>Agente_IA_OyP_5.0 integra Procesador de Documentos, Servicio de IA, Analizador Estadístico y Generador de Reportes, orquestados por un Gateway. Permite ingesta multiformato, selección/entrenamiento de modelos por proveedor, análisis estadístico completo con contrato estándar (tables/figures/summary) y generación de informes en APA 7 (PDF/DOCX). La arquitectura de microservicios y jobs asíncronos asegura escalabilidad y trazabilidad. La precisión del modelo se reporta como entero (p. ej., 93).</w:t>
      </w:r>
    </w:p>
    <w:p>
      <w:pPr>
        <w:pStyle w:val="Heading1"/>
      </w:pPr>
      <w:r>
        <w:t>Abstract</w:t>
      </w:r>
    </w:p>
    <w:p>
      <w:r>
        <w:t>Agente_IA_OyP_5.0 is an end‑to‑end document intelligence platform unifying ingestion/cleaning, provider‑selectable AI training/inference, a full statistical analysis suite with a standardized output, and APA‑compliant reporting to PDF/DOCX. Microservices and asynchronous jobs provide scalability and traceability. Model accuracy is reported as an integer KPI (e.g., 93).</w:t>
      </w:r>
    </w:p>
    <w:p>
      <w:r>
        <w:br w:type="page"/>
      </w:r>
    </w:p>
    <w:p>
      <w:pPr>
        <w:pStyle w:val="Heading1"/>
      </w:pPr>
      <w:r>
        <w:t>1. Introducción</w:t>
      </w:r>
    </w:p>
    <w:p>
      <w:r>
        <w:t>Los flujos de ingesta, análisis y reporte suelen ser fragmentados. Esta tesis propone una plataforma unificada que automatiza el proceso y garantiza la reproducibilidad mediante contratos estables y trazabilidad extremo a extremo.</w:t>
      </w:r>
    </w:p>
    <w:p>
      <w:pPr>
        <w:pStyle w:val="Heading1"/>
      </w:pPr>
      <w:r>
        <w:t>2. Marco Teórico</w:t>
      </w:r>
    </w:p>
    <w:p>
      <w:r>
        <w:t>Gestion documental y OCR; NLP para clasificación, resumen y NER; estadística aplicada (descriptiva, inferencial, correlaciones y regresiones); normas APA 7 para la comunicación de resultados.</w:t>
      </w:r>
    </w:p>
    <w:p>
      <w:pPr>
        <w:pStyle w:val="Heading1"/>
      </w:pPr>
      <w:r>
        <w:t>3. Metodología</w:t>
      </w:r>
    </w:p>
    <w:p>
      <w:r>
        <w:t>Diseño experimental (grupo control vs. experimental). Variables: tiempo (min), errores (%), satisfacción (Likert 1–5), precisión del modelo (entera). Instrumentos: rúbricas, SUS/NPS, logs del sistema.</w:t>
      </w:r>
    </w:p>
    <w:p>
      <w:pPr>
        <w:pStyle w:val="Heading1"/>
      </w:pPr>
      <w:r>
        <w:t>4. Arquitectura y Diseño del Sistema</w:t>
      </w:r>
    </w:p>
    <w:p>
      <w:r>
        <w:t>Cuatro módulos orquestados por Gateway: Procesador de Documentos, Servicio de IA, Analizador Estadístico y Generador de Reportes. Persistencia de artefactos y versionado. Contratos de API para datasets, modelos, análisis y reportes.</w:t>
      </w:r>
    </w:p>
    <w:p>
      <w:pPr>
        <w:pStyle w:val="Heading1"/>
      </w:pPr>
      <w:r>
        <w:t>5. Implementación</w:t>
      </w:r>
    </w:p>
    <w:p>
      <w:r>
        <w:t>Frontend con Tabler 1.4 (SPA, estilo SPSS), selector de proveedor/modelo IA, wizard de 4 pasos y Centro de Jobs. Backend en microservicios Flask; Redis para colas; SQLite (dev) y Postgres (prod).</w:t>
      </w:r>
    </w:p>
    <w:p>
      <w:pPr>
        <w:pStyle w:val="Heading1"/>
      </w:pPr>
      <w:r>
        <w:t>6. Resultados</w:t>
      </w:r>
    </w:p>
    <w:p>
      <w:pPr>
        <w:pStyle w:val="Heading2"/>
      </w:pPr>
      <w:r>
        <w:t>6.1 Configuración experimental</w:t>
      </w:r>
    </w:p>
    <w:p>
      <w:r>
        <w:t>Ambiente local con Docker Compose; Redis para colas; SQLite en desarrollo. Documentos multiformato categorizados (tesis, informes, cotizaciones, plantillas, fotos, otros).</w:t>
      </w:r>
    </w:p>
    <w:p>
      <w:pPr>
        <w:pStyle w:val="Heading2"/>
      </w:pPr>
      <w:r>
        <w:t>6.2 Descriptiva general</w:t>
      </w:r>
    </w:p>
    <w:p>
      <w:pPr>
        <w:pStyle w:val="Caption"/>
        <w:jc w:val="center"/>
      </w:pPr>
      <w:r>
        <w:t xml:space="preserve">Table </w:t>
      </w:r>
      <w:r>
        <w:fldChar w:fldCharType="begin"/>
        <w:instrText xml:space="preserve">SEQ Table \* ARABIC</w:instrText>
        <w:fldChar w:fldCharType="end"/>
      </w:r>
      <w:r>
        <w:t>. Estadística descriptiva por variable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b/>
              </w:rPr>
              <w:t>Variable</w:t>
            </w:r>
          </w:p>
        </w:tc>
        <w:tc>
          <w:tcPr>
            <w:tcW w:type="dxa" w:w="1560"/>
          </w:tcPr>
          <w:p>
            <w:r>
              <w:rPr>
                <w:b/>
              </w:rPr>
              <w:t>n</w:t>
            </w:r>
          </w:p>
        </w:tc>
        <w:tc>
          <w:tcPr>
            <w:tcW w:type="dxa" w:w="1560"/>
          </w:tcPr>
          <w:p>
            <w:r>
              <w:rPr>
                <w:b/>
              </w:rPr>
              <w:t>Media</w:t>
            </w:r>
          </w:p>
        </w:tc>
        <w:tc>
          <w:tcPr>
            <w:tcW w:type="dxa" w:w="1560"/>
          </w:tcPr>
          <w:p>
            <w:r>
              <w:rPr>
                <w:b/>
              </w:rPr>
              <w:t>DE</w:t>
            </w:r>
          </w:p>
        </w:tc>
        <w:tc>
          <w:tcPr>
            <w:tcW w:type="dxa" w:w="1560"/>
          </w:tcPr>
          <w:p>
            <w:r>
              <w:rPr>
                <w:b/>
              </w:rPr>
              <w:t>Mín</w:t>
            </w:r>
          </w:p>
        </w:tc>
        <w:tc>
          <w:tcPr>
            <w:tcW w:type="dxa" w:w="1560"/>
          </w:tcPr>
          <w:p>
            <w:r>
              <w:rPr>
                <w:b/>
              </w:rPr>
              <w:t>Máx</w:t>
            </w:r>
          </w:p>
        </w:tc>
      </w:tr>
      <w:tr>
        <w:tc>
          <w:tcPr>
            <w:tcW w:type="dxa" w:w="1560"/>
          </w:tcPr>
          <w:p>
            <w:r>
              <w:t>Tiempo (min)</w:t>
            </w:r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>
              <w:t>Errores (%)</w:t>
            </w:r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>
              <w:t>Satisfacción (1–5)</w:t>
            </w:r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>
              <w:t>Precisión (entera)</w:t>
            </w:r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</w:tbl>
    <w:p/>
    <w:p>
      <w:pPr>
        <w:pStyle w:val="Heading2"/>
      </w:pPr>
      <w:r>
        <w:t>6.3 Supuestos</w:t>
      </w:r>
    </w:p>
    <w:p>
      <w:pPr>
        <w:pStyle w:val="Caption"/>
        <w:jc w:val="center"/>
      </w:pPr>
      <w:r>
        <w:t xml:space="preserve">Table </w:t>
      </w:r>
      <w:r>
        <w:fldChar w:fldCharType="begin"/>
        <w:instrText xml:space="preserve">SEQ Table \* ARABIC</w:instrText>
        <w:fldChar w:fldCharType="end"/>
      </w:r>
      <w:r>
        <w:t>. Pruebas de supuestos (normalidad y homocedasticidad)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Variable/Grupo</w:t>
            </w:r>
          </w:p>
        </w:tc>
        <w:tc>
          <w:tcPr>
            <w:tcW w:type="dxa" w:w="1872"/>
          </w:tcPr>
          <w:p>
            <w:r>
              <w:rPr>
                <w:b/>
              </w:rPr>
              <w:t>Prueba</w:t>
            </w:r>
          </w:p>
        </w:tc>
        <w:tc>
          <w:tcPr>
            <w:tcW w:type="dxa" w:w="1872"/>
          </w:tcPr>
          <w:p>
            <w:r>
              <w:rPr>
                <w:b/>
              </w:rPr>
              <w:t>Estadístico</w:t>
            </w:r>
          </w:p>
        </w:tc>
        <w:tc>
          <w:tcPr>
            <w:tcW w:type="dxa" w:w="1872"/>
          </w:tcPr>
          <w:p>
            <w:r>
              <w:rPr>
                <w:b/>
              </w:rPr>
              <w:t>p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Conclusión</w:t>
            </w:r>
          </w:p>
        </w:tc>
      </w:tr>
      <w:tr>
        <w:tc>
          <w:tcPr>
            <w:tcW w:type="dxa" w:w="1872"/>
          </w:tcPr>
          <w:p>
            <w:r>
              <w:t>Tiempo</w:t>
            </w:r>
          </w:p>
        </w:tc>
        <w:tc>
          <w:tcPr>
            <w:tcW w:type="dxa" w:w="1872"/>
          </w:tcPr>
          <w:p>
            <w:r>
              <w:t>Shapiro–Wilk</w:t>
            </w:r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/>
          </w:p>
        </w:tc>
      </w:tr>
      <w:tr>
        <w:tc>
          <w:tcPr>
            <w:tcW w:type="dxa" w:w="1872"/>
          </w:tcPr>
          <w:p>
            <w:r>
              <w:t>Tiempo</w:t>
            </w:r>
          </w:p>
        </w:tc>
        <w:tc>
          <w:tcPr>
            <w:tcW w:type="dxa" w:w="1872"/>
          </w:tcPr>
          <w:p>
            <w:r>
              <w:t>Levene</w:t>
            </w:r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/>
          </w:p>
        </w:tc>
      </w:tr>
      <w:tr>
        <w:tc>
          <w:tcPr>
            <w:tcW w:type="dxa" w:w="1872"/>
          </w:tcPr>
          <w:p>
            <w:r>
              <w:t>Errores</w:t>
            </w:r>
          </w:p>
        </w:tc>
        <w:tc>
          <w:tcPr>
            <w:tcW w:type="dxa" w:w="1872"/>
          </w:tcPr>
          <w:p>
            <w:r>
              <w:t>Shapiro–Wilk</w:t>
            </w:r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/>
          </w:p>
        </w:tc>
      </w:tr>
      <w:tr>
        <w:tc>
          <w:tcPr>
            <w:tcW w:type="dxa" w:w="1872"/>
          </w:tcPr>
          <w:p>
            <w:r>
              <w:t>Errores</w:t>
            </w:r>
          </w:p>
        </w:tc>
        <w:tc>
          <w:tcPr>
            <w:tcW w:type="dxa" w:w="1872"/>
          </w:tcPr>
          <w:p>
            <w:r>
              <w:t>Levene</w:t>
            </w:r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/>
          </w:p>
        </w:tc>
      </w:tr>
    </w:tbl>
    <w:p/>
    <w:p>
      <w:pPr>
        <w:pStyle w:val="Heading2"/>
      </w:pPr>
      <w:r>
        <w:t>6.4 Pruebas de hipótesis</w:t>
      </w:r>
    </w:p>
    <w:p>
      <w:pPr>
        <w:pStyle w:val="Caption"/>
        <w:jc w:val="center"/>
      </w:pPr>
      <w:r>
        <w:t xml:space="preserve">Table </w:t>
      </w:r>
      <w:r>
        <w:fldChar w:fldCharType="begin"/>
        <w:instrText xml:space="preserve">SEQ Table \* ARABIC</w:instrText>
        <w:fldChar w:fldCharType="end"/>
      </w:r>
      <w:r>
        <w:t>. Pruebas paramétricas y no paramétricas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</w:tcPr>
          <w:p>
            <w:r>
              <w:rPr>
                <w:b/>
              </w:rPr>
              <w:t>Prueba</w:t>
            </w:r>
          </w:p>
        </w:tc>
        <w:tc>
          <w:tcPr>
            <w:tcW w:type="dxa" w:w="1560"/>
          </w:tcPr>
          <w:p>
            <w:r>
              <w:rPr>
                <w:b/>
              </w:rPr>
              <w:t>Estadístico</w:t>
            </w:r>
          </w:p>
        </w:tc>
        <w:tc>
          <w:tcPr>
            <w:tcW w:type="dxa" w:w="1560"/>
          </w:tcPr>
          <w:p>
            <w:r>
              <w:rPr>
                <w:b/>
              </w:rPr>
              <w:t>gl</w:t>
            </w:r>
          </w:p>
        </w:tc>
        <w:tc>
          <w:tcPr>
            <w:tcW w:type="dxa" w:w="1560"/>
          </w:tcPr>
          <w:p>
            <w:r>
              <w:rPr>
                <w:b/>
              </w:rPr>
              <w:t>p</w:t>
            </w:r>
          </w:p>
        </w:tc>
        <w:tc>
          <w:tcPr>
            <w:tcW w:type="dxa" w:w="1560"/>
          </w:tcPr>
          <w:p>
            <w:r>
              <w:rPr>
                <w:b/>
              </w:rPr>
              <w:t>Tamaño del efecto</w:t>
            </w:r>
          </w:p>
        </w:tc>
        <w:tc>
          <w:tcPr>
            <w:tcW w:type="dxa" w:w="1560"/>
          </w:tcPr>
          <w:p>
            <w:r>
              <w:rPr>
                <w:b/>
              </w:rPr>
              <w:t>IC</w:t>
            </w:r>
          </w:p>
        </w:tc>
      </w:tr>
      <w:tr>
        <w:tc>
          <w:tcPr>
            <w:tcW w:type="dxa" w:w="1560"/>
          </w:tcPr>
          <w:p>
            <w:r>
              <w:t>t (ind/pareada) / ANOVA / Welch</w:t>
            </w:r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>
              <w:t>Mann–Whitney / Kruskal–Wallis</w:t>
            </w:r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  <w:tr>
        <w:tc>
          <w:tcPr>
            <w:tcW w:type="dxa" w:w="1560"/>
          </w:tcPr>
          <w:p>
            <w:r>
              <w:t>Chi² / Fisher</w:t>
            </w:r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  <w:tc>
          <w:tcPr>
            <w:tcW w:type="dxa" w:w="1560"/>
          </w:tcPr>
          <w:p>
            <w:r/>
          </w:p>
        </w:tc>
      </w:tr>
    </w:tbl>
    <w:p/>
    <w:p>
      <w:pPr>
        <w:pStyle w:val="Heading2"/>
      </w:pPr>
      <w:r>
        <w:t>6.5 Correlaciones</w:t>
      </w:r>
    </w:p>
    <w:p>
      <w:pPr>
        <w:pStyle w:val="Caption"/>
        <w:jc w:val="center"/>
      </w:pPr>
      <w:r>
        <w:t xml:space="preserve">Table </w:t>
      </w:r>
      <w:r>
        <w:fldChar w:fldCharType="begin"/>
        <w:instrText xml:space="preserve">SEQ Table \* ARABIC</w:instrText>
        <w:fldChar w:fldCharType="end"/>
      </w:r>
      <w:r>
        <w:t>. Correlaciones (Pearson/Spearman/Kendall)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Par</w:t>
            </w:r>
          </w:p>
        </w:tc>
        <w:tc>
          <w:tcPr>
            <w:tcW w:type="dxa" w:w="1872"/>
          </w:tcPr>
          <w:p>
            <w:r>
              <w:rPr>
                <w:b/>
              </w:rPr>
              <w:t>Método</w:t>
            </w:r>
          </w:p>
        </w:tc>
        <w:tc>
          <w:tcPr>
            <w:tcW w:type="dxa" w:w="1872"/>
          </w:tcPr>
          <w:p>
            <w:r>
              <w:rPr>
                <w:b/>
              </w:rPr>
              <w:t>r/ρ/τ</w:t>
            </w:r>
          </w:p>
        </w:tc>
        <w:tc>
          <w:tcPr>
            <w:tcW w:type="dxa" w:w="1872"/>
          </w:tcPr>
          <w:p>
            <w:r>
              <w:rPr>
                <w:b/>
              </w:rPr>
              <w:t>p</w:t>
            </w:r>
          </w:p>
        </w:tc>
        <w:tc>
          <w:tcPr>
            <w:tcW w:type="dxa" w:w="1872"/>
          </w:tcPr>
          <w:p>
            <w:r>
              <w:rPr>
                <w:b/>
              </w:rPr>
              <w:t>n</w:t>
            </w:r>
          </w:p>
        </w:tc>
      </w:tr>
      <w:tr>
        <w:tc>
          <w:tcPr>
            <w:tcW w:type="dxa" w:w="1872"/>
          </w:tcPr>
          <w:p>
            <w:r>
              <w:t>Var1–Var2</w:t>
            </w:r>
          </w:p>
        </w:tc>
        <w:tc>
          <w:tcPr>
            <w:tcW w:type="dxa" w:w="1872"/>
          </w:tcPr>
          <w:p>
            <w:r>
              <w:t>Pearson</w:t>
            </w:r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/>
          </w:p>
        </w:tc>
      </w:tr>
      <w:tr>
        <w:tc>
          <w:tcPr>
            <w:tcW w:type="dxa" w:w="1872"/>
          </w:tcPr>
          <w:p>
            <w:r>
              <w:t>Var1–Var3</w:t>
            </w:r>
          </w:p>
        </w:tc>
        <w:tc>
          <w:tcPr>
            <w:tcW w:type="dxa" w:w="1872"/>
          </w:tcPr>
          <w:p>
            <w:r>
              <w:t>Spearman</w:t>
            </w:r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/>
          </w:p>
        </w:tc>
      </w:tr>
      <w:tr>
        <w:tc>
          <w:tcPr>
            <w:tcW w:type="dxa" w:w="1872"/>
          </w:tcPr>
          <w:p>
            <w:r>
              <w:t>Var2–Var3</w:t>
            </w:r>
          </w:p>
        </w:tc>
        <w:tc>
          <w:tcPr>
            <w:tcW w:type="dxa" w:w="1872"/>
          </w:tcPr>
          <w:p>
            <w:r>
              <w:t>Kendall</w:t>
            </w:r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/>
          </w:p>
        </w:tc>
        <w:tc>
          <w:tcPr>
            <w:tcW w:type="dxa" w:w="1872"/>
          </w:tcPr>
          <w:p>
            <w:r/>
          </w:p>
        </w:tc>
      </w:tr>
    </w:tbl>
    <w:p/>
    <w:p>
      <w:pPr>
        <w:pStyle w:val="Heading2"/>
      </w:pPr>
      <w:r>
        <w:t>6.6 Modelado</w:t>
      </w:r>
    </w:p>
    <w:p>
      <w:pPr>
        <w:pStyle w:val="Caption"/>
        <w:jc w:val="center"/>
      </w:pPr>
      <w:r>
        <w:t xml:space="preserve">Table </w:t>
      </w:r>
      <w:r>
        <w:fldChar w:fldCharType="begin"/>
        <w:instrText xml:space="preserve">SEQ Table \* ARABIC</w:instrText>
        <w:fldChar w:fldCharType="end"/>
      </w:r>
      <w:r>
        <w:t>. Regresiones y métricas de ajuste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rPr>
                <w:b/>
              </w:rPr>
              <w:t>Modelo</w:t>
            </w:r>
          </w:p>
        </w:tc>
        <w:tc>
          <w:tcPr>
            <w:tcW w:type="dxa" w:w="2340"/>
          </w:tcPr>
          <w:p>
            <w:r>
              <w:rPr>
                <w:b/>
              </w:rPr>
              <w:t>Parámetros clave</w:t>
            </w:r>
          </w:p>
        </w:tc>
        <w:tc>
          <w:tcPr>
            <w:tcW w:type="dxa" w:w="2340"/>
          </w:tcPr>
          <w:p>
            <w:r>
              <w:rPr>
                <w:b/>
              </w:rPr>
              <w:t>Métricas (R²/AUC)</w:t>
            </w:r>
          </w:p>
        </w:tc>
        <w:tc>
          <w:tcPr>
            <w:tcW w:type="dxa" w:w="2340"/>
          </w:tcPr>
          <w:p>
            <w:r>
              <w:rPr>
                <w:b/>
              </w:rPr>
              <w:t>Diagnósticos</w:t>
            </w:r>
          </w:p>
        </w:tc>
      </w:tr>
      <w:tr>
        <w:tc>
          <w:tcPr>
            <w:tcW w:type="dxa" w:w="2340"/>
          </w:tcPr>
          <w:p>
            <w:r>
              <w:t>Lineal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Logística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  <w:tr>
        <w:tc>
          <w:tcPr>
            <w:tcW w:type="dxa" w:w="2340"/>
          </w:tcPr>
          <w:p>
            <w:r>
              <w:t>Poisson</w:t>
            </w:r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  <w:tc>
          <w:tcPr>
            <w:tcW w:type="dxa" w:w="2340"/>
          </w:tcPr>
          <w:p>
            <w:r/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5827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line_activida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27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/>
        <w:instrText xml:space="preserve">SEQ Figure \* ARABIC</w:instrText>
        <w:fldChar w:fldCharType="end"/>
      </w:r>
      <w:r>
        <w:t>. Actividad semanal de procesamiento de documentos (simulada).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52982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donut_distribuc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98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/>
        <w:instrText xml:space="preserve">SEQ Figure \* ARABIC</w:instrText>
        <w:fldChar w:fldCharType="end"/>
      </w:r>
      <w:r>
        <w:t>. Distribución de documentos por tipo (simulada).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71090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heatmap_cor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09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/>
        <w:instrText xml:space="preserve">SEQ Figure \* ARABIC</w:instrText>
        <w:fldChar w:fldCharType="end"/>
      </w:r>
      <w:r>
        <w:t>. Matriz de correlaciones sobre variables operativas (simulada).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53842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ig_boxplot_tiempo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84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</w:r>
      <w:r>
        <w:fldChar w:fldCharType="begin"/>
        <w:instrText xml:space="preserve">SEQ Figure \* ARABIC</w:instrText>
        <w:fldChar w:fldCharType="end"/>
      </w:r>
      <w:r>
        <w:t>. Distribución de tiempos por grupo (control vs. experimental).</w:t>
      </w:r>
    </w:p>
    <w:p/>
    <w:p>
      <w:pPr>
        <w:pStyle w:val="Heading1"/>
      </w:pPr>
      <w:r>
        <w:t>7. Discusión</w:t>
      </w:r>
    </w:p>
    <w:p>
      <w:r>
        <w:t>La arquitectura de 4 módulos y el contrato estándar mejoran eficiencia y reproducibilidad. Amenazas: tamaño muestral, heterogeneidad de documentos, sesgos. Limitaciones: SSO y plantillas avanzadas pendientes.</w:t>
      </w:r>
    </w:p>
    <w:p>
      <w:pPr>
        <w:pStyle w:val="Heading1"/>
      </w:pPr>
      <w:r>
        <w:t>8. Conclusiones y Recomendaciones</w:t>
      </w:r>
    </w:p>
    <w:p>
      <w:r>
        <w:t>La plataforma es viable y útil; se recomienda fortalecer el Centro de Jobs, ampliar plantillas APA y habilitar SSE/WebSocket y MLflow.</w:t>
      </w:r>
    </w:p>
    <w:p>
      <w:pPr>
        <w:pStyle w:val="Heading1"/>
      </w:pPr>
      <w:r>
        <w:t>9. Trabajo Futuro</w:t>
      </w:r>
    </w:p>
    <w:p>
      <w:r>
        <w:t>Progreso en tiempo real, editor visual de plantillas, MLflow para experimentos, SSO y políticas de retención, análisis avanzados.</w:t>
      </w:r>
    </w:p>
    <w:p>
      <w:pPr>
        <w:pStyle w:val="Heading1"/>
      </w:pPr>
      <w:r>
        <w:t>10. Referencias (APA 7)</w:t>
      </w:r>
    </w:p>
    <w:p>
      <w:r>
        <w:t>American Psychological Association. (2020). Publication manual of the American Psychological Association (7th ed.). APA.</w:t>
      </w:r>
    </w:p>
    <w:p>
      <w:r>
        <w:t>Field, A. P. (2013). Discovering statistics using IBM SPSS statistics (4th ed.). SAGE.</w:t>
      </w:r>
    </w:p>
    <w:p>
      <w:r>
        <w:t>Virtanen, P., et al. (2020). SciPy 1.0: Fundamental algorithms for scientific computing in Python. Nature Methods, 17, 261–272.</w:t>
      </w:r>
    </w:p>
    <w:p>
      <w:r>
        <w:t>van der Walt, S., Colbert, S. C., &amp; Varoquaux, G. (2011). The NumPy array: A structure for efficient numerical computation. Computing in Science &amp; Engineering, 13(2), 22–30.</w:t>
      </w:r>
    </w:p>
    <w:p>
      <w:r>
        <w:t>Flask documentation. https://flask.palletsprojects.com</w:t>
      </w:r>
    </w:p>
    <w:p>
      <w:r>
        <w:t>Docker Compose documentation. https://docs.docker.com/compose/</w:t>
      </w:r>
    </w:p>
    <w:p>
      <w:r>
        <w:t>Chart.js documentation. https://www.chartjs.org</w:t>
      </w:r>
    </w:p>
    <w:p>
      <w:r>
        <w:t>Tabler UI documentation. https://tabler.io</w:t>
      </w:r>
    </w:p>
    <w:p>
      <w:pPr>
        <w:pStyle w:val="Heading1"/>
      </w:pPr>
      <w:r>
        <w:t>11. Anexos</w:t>
      </w:r>
    </w:p>
    <w:p>
      <w:pPr>
        <w:pStyle w:val="Heading2"/>
      </w:pPr>
      <w:r>
        <w:t>Anexo A. Contratos de API (resumen)</w:t>
      </w:r>
    </w:p>
    <w:p>
      <w:r>
        <w:t>GET /api/estadisticas/resumen, GET /api/estadisticas/graficos; POST /api/datasets; GET /api/datasets/:id; GET /api/ia/providers, GET /api/ia/models, POST /api/ia/test, POST /api/services/analyze-text; POST /api/analysis/jobs, GET /api/analysis/jobs/:id, GET /api/analysis/results/:id; GET /api/templates, GET /api/templates/:id/preview, POST /api/reports, GET /api/reports/:id.</w:t>
      </w:r>
    </w:p>
    <w:p>
      <w:pPr>
        <w:pStyle w:val="Heading2"/>
      </w:pPr>
      <w:r>
        <w:t>Anexo B. Modelo de datos (ER)</w:t>
      </w:r>
    </w:p>
    <w:p>
      <w:r>
        <w:t>documents, datasets, dataset_items, models (precision_int), analysis_jobs, analysis_results, reports, templates, categories.</w:t>
      </w:r>
    </w:p>
    <w:p>
      <w:pPr>
        <w:pStyle w:val="Heading2"/>
      </w:pPr>
      <w:r>
        <w:t>Anexo C. Despliegue (Docker Compose)</w:t>
      </w:r>
    </w:p>
    <w:p>
      <w:r>
        <w:t>Servicios: gateway, document_processor, ai_service, analysis, report_generator, redis, db. Volúmenes: storage/, models/, reports/.</w:t>
      </w:r>
    </w:p>
    <w:sectPr w:rsidR="00FC693F" w:rsidRPr="0006063C" w:rsidSect="0003461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480" w:lineRule="auto" w:after="0"/>
    </w:pPr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 w:eastAsia="Times New Roman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 w:eastAsia="Times New Roman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 w:eastAsia="Times New Roman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Times New Roman" w:hAnsi="Times New Roman" w:eastAsia="Times New Roman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rFonts w:ascii="Times New Roman" w:hAnsi="Times New Roman" w:eastAsia="Times New Roman"/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