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EJECUTIVO</w:t>
      </w:r>
    </w:p>
    <w:p>
      <w:pPr>
        <w:jc w:val="center"/>
      </w:pPr>
      <w:r>
        <w:rPr>
          <w:i/>
          <w:color w:val="1E40AF"/>
          <w:sz w:val="28"/>
        </w:rPr>
        <w:t>Formato APA</w:t>
      </w:r>
    </w:p>
    <w:p>
      <w:pPr>
        <w:jc w:val="center"/>
      </w:pPr>
      <w:r>
        <w:rPr>
          <w:b/>
          <w:color w:val="1E40AF"/>
          <w:sz w:val="32"/>
        </w:rPr>
        <w:t>Informe Ejecutivo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>14/02/2026 | Código: INF-EJEC-001</w:t>
      </w:r>
    </w:p>
    <w:p/>
    <w:p>
      <w:r>
        <w:rPr>
          <w:b/>
          <w:color w:val="1E40AF"/>
          <w:sz w:val="24"/>
        </w:rPr>
        <w:t xml:space="preserve">Cliente: </w:t>
      </w:r>
      <w:r>
        <w:rPr>
          <w:sz w:val="24"/>
        </w:rPr>
        <w:t>Gerente 27</w:t>
      </w:r>
    </w:p>
    <w:p>
      <w:r>
        <w:rPr>
          <w:b/>
          <w:color w:val="1E40AF"/>
          <w:sz w:val="24"/>
        </w:rPr>
        <w:t xml:space="preserve">Fecha: </w:t>
      </w:r>
      <w:r>
        <w:rPr>
          <w:sz w:val="24"/>
        </w:rPr>
        <w:t>14/02/2026</w:t>
      </w:r>
    </w:p>
    <w:p>
      <w:r>
        <w:rPr>
          <w:b/>
          <w:color w:val="1E40AF"/>
          <w:sz w:val="24"/>
        </w:rPr>
        <w:t xml:space="preserve">Código: </w:t>
      </w:r>
      <w:r>
        <w:rPr>
          <w:sz w:val="24"/>
        </w:rPr>
        <w:t>INF-EJEC-001</w:t>
      </w:r>
    </w:p>
    <w:p/>
    <w:p>
      <w:r>
        <w:rPr>
          <w:b/>
          <w:color w:val="0052A3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Gerente 27. El estudio se enfoca en proporcionar información técnica relevante para la toma de decisiones estratégicas.</w:t>
      </w:r>
    </w:p>
    <w:p/>
    <w:p>
      <w:r>
        <w:rPr>
          <w:b/>
          <w:color w:val="0052A3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0052A3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0052A3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