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MANTENIMIENTO DE SUBESTACIÓN 22.9KV</w:t>
      </w:r>
      <w:r/>
      <w:r/>
      <w:r/>
      <w:r>
        <w:t>Elaborado para:</w:t>
      </w:r>
      <w:r/>
      <w:r>
        <w:t>MINERA LAS BAMBAS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15/02/2026</w:t>
      </w:r>
      <w:r/>
      <w:r>
        <w:t>Código del Informe: INF-005438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Se realizó el mantenimiento preventivo de la celda de media tensión...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$ 125,000.00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$ 125,000.00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MINERA LAS BAMBAS S.A. requiere implementar un sistema de MANTENIMIENTO PREVENTIVO para optimizar sus operaciones y cumplir con la normativa IEEE 80-2013 / CNE Suministro.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IEEE 80-2013 / CNE Suministro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60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3600"/>
          </w:tcPr>
          <w:p>
            <w:r>
              <w:t>Inversión en equipos y materiales</w:t>
            </w:r>
          </w:p>
        </w:tc>
        <w:tc>
          <w:tcPr>
            <w:tcW w:type="dxa" w:w="3600"/>
          </w:tcPr>
          <w:p>
            <w:r>
              <w:t>$ 87,500.00</w:t>
            </w:r>
          </w:p>
        </w:tc>
        <w:tc>
          <w:tcPr>
            <w:tcW w:type="dxa" w:w="3600"/>
          </w:tcPr>
          <w:p>
            <w:r>
              <w:t>70%</w:t>
            </w:r>
          </w:p>
        </w:tc>
      </w:tr>
      <w:tr>
        <w:tc>
          <w:tcPr>
            <w:tcW w:type="dxa" w:w="3600"/>
          </w:tcPr>
          <w:p>
            <w:r>
              <w:t>Mano de obra e instalación</w:t>
            </w:r>
          </w:p>
        </w:tc>
        <w:tc>
          <w:tcPr>
            <w:tcW w:type="dxa" w:w="3600"/>
          </w:tcPr>
          <w:p>
            <w:r>
              <w:t>$ 25,000.00</w:t>
            </w:r>
          </w:p>
        </w:tc>
        <w:tc>
          <w:tcPr>
            <w:tcW w:type="dxa" w:w="3600"/>
          </w:tcPr>
          <w:p>
            <w:r>
              <w:t>20%</w:t>
            </w:r>
          </w:p>
        </w:tc>
      </w:tr>
      <w:tr>
        <w:tc>
          <w:tcPr>
            <w:tcW w:type="dxa" w:w="3600"/>
          </w:tcPr>
          <w:p>
            <w:r>
              <w:t>Capital de trabajo y contingencias</w:t>
            </w:r>
          </w:p>
        </w:tc>
        <w:tc>
          <w:tcPr>
            <w:tcW w:type="dxa" w:w="3600"/>
          </w:tcPr>
          <w:p>
            <w:r>
              <w:t>$ 12,500.00</w:t>
            </w:r>
          </w:p>
        </w:tc>
        <w:tc>
          <w:tcPr>
            <w:tcW w:type="dxa" w:w="3600"/>
          </w:tcPr>
          <w:p>
            <w:r>
              <w:t>10%</w:t>
            </w:r>
          </w:p>
        </w:tc>
      </w:tr>
      <w:tr>
        <w:tc>
          <w:tcPr>
            <w:tcW w:type="dxa" w:w="3600"/>
          </w:tcPr>
          <w:p>
            <w:r>
              <w:t>TOTAL INVERSIÓN</w:t>
            </w:r>
          </w:p>
        </w:tc>
        <w:tc>
          <w:tcPr>
            <w:tcW w:type="dxa" w:w="3600"/>
          </w:tcPr>
          <w:p>
            <w:r>
              <w:t>$ 125,000.00</w:t>
            </w:r>
          </w:p>
        </w:tc>
        <w:tc>
          <w:tcPr>
            <w:tcW w:type="dxa" w:w="360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700"/>
          </w:tcPr>
          <w:p>
            <w:r>
              <w:t>Retrasos en entrega de equipos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 de equipos críticos</w:t>
            </w:r>
          </w:p>
        </w:tc>
      </w:tr>
      <w:tr>
        <w:tc>
          <w:tcPr>
            <w:tcW w:type="dxa" w:w="2700"/>
          </w:tcPr>
          <w:p>
            <w:r>
              <w:t>Variación de precios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Cláusulas de precio fijo en contratos</w:t>
            </w:r>
          </w:p>
        </w:tc>
      </w:tr>
      <w:tr>
        <w:tc>
          <w:tcPr>
            <w:tcW w:type="dxa" w:w="2700"/>
          </w:tcPr>
          <w:p>
            <w:r>
              <w:t>Cambios en el alcance del proyecto</w:t>
            </w:r>
          </w:p>
        </w:tc>
        <w:tc>
          <w:tcPr>
            <w:tcW w:type="dxa" w:w="2700"/>
          </w:tcPr>
          <w:p>
            <w:r>
              <w:t>Alta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IEEE 80-2013 / CNE Suministro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IEEE 80-2013 / CNE Suministro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