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MANTENIMIENTO DE SUBESTACIÓN 22.9KV</w:t>
      </w:r>
      <w:r/>
      <w:r/>
      <w:r>
        <w:rPr>
          <w:b/>
        </w:rPr>
        <w:t>Código:</w:t>
      </w:r>
      <w:r>
        <w:t xml:space="preserve"> INF-010220</w:t>
      </w:r>
      <w:r/>
      <w:r>
        <w:rPr>
          <w:b/>
        </w:rPr>
        <w:t>Cliente:</w:t>
      </w:r>
      <w:r>
        <w:t xml:space="preserve"> MINERA LAS BAMBAS S.A.</w:t>
      </w:r>
      <w:r/>
      <w:r>
        <w:rPr>
          <w:b/>
        </w:rPr>
        <w:t>Fecha:</w:t>
      </w:r>
      <w:r>
        <w:t xml:space="preserve"> 15/02/2026</w:t>
      </w:r>
      <w:r/>
      <w:r/>
      <w:r>
        <w:rPr>
          <w:b/>
        </w:rPr>
        <w:t>Elaborado por:</w:t>
        <w:br/>
      </w:r>
      <w:r>
        <w:t>Tesla Electricidad y Automatización S.A.C.</w:t>
        <w:br/>
      </w:r>
      <w:r>
        <w:t>Departamento de Ingeniería</w:t>
      </w:r>
      <w:r/>
      <w:r/>
      <w:r/>
      <w:r/>
      <w:r/>
      <w:r/>
      <w:r>
        <w:t>Código del Informe:</w:t>
      </w:r>
      <w:r/>
      <w:r>
        <w:t>INF-010220</w:t>
      </w:r>
      <w:r/>
      <w:r/>
      <w:r/>
      <w:r>
        <w:t>Fecha de Emisión:</w:t>
      </w:r>
      <w:r/>
      <w:r>
        <w:t>15/02/2026</w:t>
      </w:r>
      <w:r/>
      <w:r/>
      <w:r/>
      <w:r>
        <w:t>Cliente:</w:t>
      </w:r>
      <w:r/>
      <w:r>
        <w:t>MINERA LAS BAMBAS S.A.</w:t>
      </w:r>
      <w:r/>
      <w:r/>
      <w:r/>
      <w:r>
        <w:t>Autor:</w:t>
      </w:r>
      <w:r/>
      <w:r>
        <w:t>Tesla Electricidad y Automatización S.A.C.</w:t>
      </w:r>
      <w:r/>
      <w:r/>
      <w:r/>
      <w:r/>
      <w:r/>
    </w:p>
    <w:p>
      <w:pPr>
        <w:pStyle w:val="Heading3"/>
      </w:pPr>
      <w:r>
        <w:t>Resumen Ejecutivo</w:t>
      </w:r>
      <w:r/>
    </w:p>
    <w:p>
      <w:r/>
      <w:r>
        <w:t>Se realizó el mantenimiento preventivo de la celda de media tensión...</w:t>
      </w:r>
      <w:r/>
      <w:r/>
      <w:r/>
      <w:r/>
    </w:p>
    <w:p>
      <w:pPr>
        <w:pStyle w:val="Heading2"/>
      </w:pPr>
      <w:r>
        <w:t>1. INTRODUCCIÓN</w:t>
      </w:r>
      <w:r/>
    </w:p>
    <w:p>
      <w:pPr>
        <w:pStyle w:val="Heading3"/>
      </w:pPr>
      <w:r>
        <w:t>1.1. Antecedentes</w:t>
      </w:r>
      <w:r/>
    </w:p>
    <w:p>
      <w:r/>
      <w:r>
        <w:t>El presente informe técnico describe el proyecto de MANTENIMIENTO PREVENTIVO desarrollado para el cliente MINERA LAS BAMBAS S.A..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IEEE 80-2013 / CNE Suministro</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IEEE 80-2013 / CNE Suministro, garantizando el cumplimiento de todos los requisitos legales y técnicos aplicables.</w:t>
      </w:r>
      <w:r/>
    </w:p>
    <w:p>
      <w:pPr>
        <w:pStyle w:val="Heading3"/>
      </w:pPr>
      <w:r>
        <w:t>2.1. Códigos y Estándares Aplicables</w:t>
      </w:r>
      <w:r/>
      <w:r/>
    </w:p>
    <w:p>
      <w:pPr>
        <w:pStyle w:val="ListBullet"/>
        <w:spacing w:line="240" w:lineRule="auto"/>
        <w:ind w:left="720"/>
      </w:pPr>
      <w:r/>
      <w:r>
        <w:t>IEEE 80-2013 / CNE Suministro</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MANTENIMIENTO PREVENTIVO,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IEEE 80-2013 / CNE Suministro</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IEEE 80-2013 / CNE Suministro</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MANTENIMIENTO PREVENTIVO es técnicamente viable y cumple con todos los requisitos establecidos</w:t>
      </w:r>
      <w:r/>
    </w:p>
    <w:p>
      <w:pPr>
        <w:pStyle w:val="ListBullet"/>
        <w:spacing w:line="240" w:lineRule="auto"/>
        <w:ind w:left="720"/>
      </w:pPr>
      <w:r/>
      <w:r>
        <w:t>El diseño cumple estrictamente con la normativa IEEE 80-2013 / CNE Suministro</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IEEE 80-2013 / CNE Suministro</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