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PRJ-074440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$45K</w:t>
      </w:r>
      <w:r/>
      <w:r>
        <w:t>Earned Value</w:t>
      </w:r>
      <w:r/>
      <w:r/>
      <w:r/>
      <w:r>
        <w:t>PV</w:t>
      </w:r>
      <w:r/>
      <w:r>
        <w:t>$46K</w:t>
      </w:r>
      <w:r/>
      <w:r>
        <w:t>Planned Value</w:t>
      </w:r>
      <w:r/>
      <w:r/>
      <w:r/>
      <w:r>
        <w:t>AC</w:t>
      </w:r>
      <w:r/>
      <w:r>
        <w:t>$44K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 xml:space="preserve"> días</w:t>
      </w:r>
      <w:r/>
      <w:r/>
      <w:r/>
      <w:r/>
      <w:r>
        <w:t>4. Ejecución</w:t>
      </w:r>
      <w:r/>
      <w:r/>
      <w:r>
        <w:t xml:space="preserve">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52A3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