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INF-010220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700"/>
          </w:tcPr>
          <w:p>
            <w:r>
              <w:t>Retrasos en entrega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</w:t>
            </w:r>
          </w:p>
        </w:tc>
      </w:tr>
      <w:tr>
        <w:tc>
          <w:tcPr>
            <w:tcW w:type="dxa" w:w="2700"/>
          </w:tcPr>
          <w:p>
            <w:r>
              <w:t>Condiciones climáticas adversas</w:t>
            </w:r>
          </w:p>
        </w:tc>
        <w:tc>
          <w:tcPr>
            <w:tcW w:type="dxa" w:w="2700"/>
          </w:tcPr>
          <w:p>
            <w:r>
              <w:t>Baja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Programación flexible</w:t>
            </w:r>
          </w:p>
        </w:tc>
      </w:tr>
      <w:tr>
        <w:tc>
          <w:tcPr>
            <w:tcW w:type="dxa" w:w="2700"/>
          </w:tcPr>
          <w:p>
            <w:r>
              <w:t>Cambios en alcance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