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PROFESIONAL</w:t>
      </w:r>
      <w:r/>
      <w:r>
        <w:t>Versión Completa con Ingeniería de Detalle</w:t>
      </w:r>
      <w:r/>
      <w:r>
        <w:t>N° DOC-USR-001-RALFTH-11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TOTAL ARTEFACTOS S.A.</w:t>
      </w:r>
      <w:r/>
    </w:p>
    <w:p>
      <w:r/>
      <w:r>
        <w:t>Proyecto:</w:t>
      </w:r>
      <w:r>
        <w:t xml:space="preserve"> Proyecto Serv.11</w:t>
      </w:r>
      <w:r/>
    </w:p>
    <w:p>
      <w:r/>
      <w:r>
        <w:t>Área:</w:t>
      </w:r>
      <w:r>
        <w:t xml:space="preserve"> 200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17/02/2026</w:t>
      </w:r>
      <w:r/>
    </w:p>
    <w:p>
      <w:r/>
      <w:r>
        <w:t>Vigencia:</w:t>
      </w:r>
      <w:r>
        <w:t xml:space="preserve"> 30 días calendario</w:t>
      </w:r>
      <w:r/>
    </w:p>
    <w:p>
      <w:r/>
      <w:r>
        <w:t>Servicio:</w:t>
      </w:r>
      <w:r>
        <w:t xml:space="preserve"> Servicio 11</w:t>
      </w:r>
      <w:r/>
      <w:r/>
      <w:r/>
      <w:r/>
      <w:r/>
    </w:p>
    <w:p>
      <w:pPr>
        <w:pStyle w:val="Heading2"/>
      </w:pPr>
      <w:r>
        <w:t>Alcance del Proyecto</w:t>
      </w:r>
      <w:r/>
      <w:r>
        <w:t>Proyecto con ingeniería de detalle</w:t>
      </w:r>
    </w:p>
    <w:p>
      <w:r/>
      <w:r>
        <w:rPr>
          <w:b/>
        </w:rPr>
        <w:t>INCLUYE:</w:t>
      </w:r>
      <w:r/>
      <w:r/>
    </w:p>
    <w:p>
      <w:pPr>
        <w:pStyle w:val="ListBullet"/>
        <w:spacing w:line="240" w:lineRule="auto"/>
        <w:ind w:left="720"/>
      </w:pPr>
      <w:r/>
      <w:r>
        <w:t>Ingeniería de detalle con cálculos según CNE Suministro 2011</w:t>
      </w:r>
      <w:r/>
    </w:p>
    <w:p>
      <w:pPr>
        <w:pStyle w:val="ListBullet"/>
        <w:spacing w:line="240" w:lineRule="auto"/>
        <w:ind w:left="720"/>
      </w:pPr>
      <w:r/>
      <w:r>
        <w:t>Suministro de materiales de primera calidad</w:t>
      </w:r>
      <w:r/>
    </w:p>
    <w:p>
      <w:pPr>
        <w:pStyle w:val="ListBullet"/>
        <w:spacing w:line="240" w:lineRule="auto"/>
        <w:ind w:left="720"/>
      </w:pPr>
      <w:r/>
      <w:r>
        <w:t>Instalación por personal técnico certificado</w:t>
      </w:r>
      <w:r/>
    </w:p>
    <w:p>
      <w:pPr>
        <w:pStyle w:val="ListBullet"/>
        <w:spacing w:line="240" w:lineRule="auto"/>
        <w:ind w:left="720"/>
      </w:pPr>
      <w:r/>
      <w:r>
        <w:t>Pruebas y puesta en marcha</w:t>
      </w:r>
      <w:r/>
    </w:p>
    <w:p>
      <w:pPr>
        <w:pStyle w:val="ListBullet"/>
        <w:spacing w:line="240" w:lineRule="auto"/>
        <w:ind w:left="720"/>
      </w:pPr>
      <w:r/>
      <w:r>
        <w:t>Documentación técnica completa</w:t>
      </w:r>
      <w:r/>
    </w:p>
    <w:p>
      <w:pPr>
        <w:pStyle w:val="ListBullet"/>
        <w:spacing w:line="240" w:lineRule="auto"/>
        <w:ind w:left="720"/>
      </w:pPr>
      <w:r/>
      <w:r>
        <w:t>Garantía de 12 meses</w:t>
      </w:r>
      <w:r/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{{ loop.index }}</w:t>
            </w:r>
          </w:p>
        </w:tc>
        <w:tc>
          <w:tcPr>
            <w:tcW w:type="dxa" w:w="1440"/>
          </w:tcPr>
          <w:p>
            <w:r>
              <w:t>{{ item.description }}</w:t>
            </w:r>
          </w:p>
        </w:tc>
        <w:tc>
          <w:tcPr>
            <w:tcW w:type="dxa" w:w="1440"/>
          </w:tcPr>
          <w:p>
            <w:r>
              <w:t>{{ item.quantity }}</w:t>
            </w:r>
          </w:p>
        </w:tc>
        <w:tc>
          <w:tcPr>
            <w:tcW w:type="dxa" w:w="1440"/>
          </w:tcPr>
          <w:p>
            <w:r>
              <w:t>{{ item.unit }}</w:t>
            </w:r>
          </w:p>
        </w:tc>
        <w:tc>
          <w:tcPr>
            <w:tcW w:type="dxa" w:w="1440"/>
          </w:tcPr>
          <w:p>
            <w:r>
              <w:t>$ {{ item.price_unit }}</w:t>
            </w:r>
          </w:p>
        </w:tc>
        <w:tc>
          <w:tcPr>
            <w:tcW w:type="dxa" w:w="1440"/>
          </w:tcPr>
          <w:p>
            <w:r>
              <w:t>$ {{ item.total }}</w:t>
            </w:r>
          </w:p>
        </w:tc>
      </w:tr>
    </w:tbl>
    <w:p>
      <w:r/>
      <w:r/>
      <w:r/>
      <w:r/>
      <w:r/>
      <w:r/>
      <w:r>
        <w:t>SUBTOTAL:</w:t>
      </w:r>
      <w:r/>
      <w:r>
        <w:t>$ 0.00</w:t>
      </w:r>
      <w:r/>
      <w:r/>
      <w:r/>
      <w:r>
        <w:t>IGV (18%):</w:t>
      </w:r>
      <w:r/>
      <w:r>
        <w:t>$ 0.00</w:t>
      </w:r>
      <w:r/>
      <w:r/>
      <w:r/>
      <w:r>
        <w:t>TOTAL:</w:t>
      </w:r>
      <w:r/>
      <w:r>
        <w:t>$ 0.00</w:t>
      </w:r>
      <w:r/>
      <w:r/>
      <w:r/>
      <w:r/>
      <w:r/>
      <w:r/>
    </w:p>
    <w:p>
      <w:pPr>
        <w:pStyle w:val="Heading2"/>
      </w:pPr>
      <w:r>
        <w:t>Cronograma Estimado</w:t>
      </w:r>
      <w:r/>
      <w:r/>
      <w:r/>
      <w:r>
        <w:t>1</w:t>
      </w:r>
      <w:r/>
      <w:r>
        <w:t>Ingeniería</w:t>
      </w:r>
      <w:r/>
      <w:r>
        <w:t>7 días</w:t>
      </w:r>
      <w:r/>
      <w:r/>
      <w:r/>
      <w:r>
        <w:t>2</w:t>
      </w:r>
      <w:r/>
      <w:r>
        <w:t>Adquisiciones</w:t>
      </w:r>
      <w:r/>
      <w:r>
        <w:t>7 días</w:t>
      </w:r>
      <w:r/>
      <w:r/>
      <w:r/>
      <w:r>
        <w:t>3</w:t>
      </w:r>
      <w:r/>
      <w:r>
        <w:t>Instalación</w:t>
      </w:r>
      <w:r/>
      <w:r>
        <w:t>15 días</w:t>
      </w:r>
      <w:r/>
      <w:r/>
      <w:r/>
      <w:r>
        <w:t>4</w:t>
      </w:r>
      <w:r/>
      <w:r>
        <w:t>Pruebas</w:t>
      </w:r>
      <w:r/>
      <w:r>
        <w:t>5 días</w:t>
      </w:r>
      <w:r/>
      <w:r/>
      <w:r/>
      <w:r/>
      <w:r/>
      <w:r/>
    </w:p>
    <w:p>
      <w:pPr>
        <w:pStyle w:val="Heading2"/>
      </w:pPr>
      <w:r>
        <w:t>Garantías Incluidas</w:t>
      </w:r>
      <w:r/>
      <w:r/>
      <w:r/>
      <w:r>
        <w:t>🛠️</w:t>
      </w:r>
      <w:r/>
      <w:r>
        <w:t>12 meses en mano de obra</w:t>
      </w:r>
      <w:r/>
      <w:r/>
      <w:r/>
      <w:r>
        <w:t>⚙️</w:t>
      </w:r>
      <w:r/>
      <w:r>
        <w:t>Garantía de fabricante en equipos</w:t>
      </w:r>
      <w:r/>
      <w:r/>
      <w:r/>
      <w:r>
        <w:t>💬</w:t>
      </w:r>
      <w:r/>
      <w:r>
        <w:t>Soporte técnico por 6 meses</w:t>
      </w:r>
      <w:r/>
      <w:r/>
      <w:r/>
      <w:r/>
      <w:r/>
      <w:r/>
    </w:p>
    <w:p>
      <w:pPr>
        <w:pStyle w:val="Heading2"/>
      </w:pPr>
      <w:r>
        <w:t>Condiciones de Pago</w:t>
      </w:r>
      <w:r/>
      <w:r/>
    </w:p>
    <w:p>
      <w:pPr>
        <w:pStyle w:val="ListBullet"/>
        <w:spacing w:line="240" w:lineRule="auto"/>
        <w:ind w:left="720"/>
      </w:pPr>
      <w:r/>
      <w:r>
        <w:t>50% de adelanto a la firma del contrato</w:t>
      </w:r>
      <w:r/>
    </w:p>
    <w:p>
      <w:pPr>
        <w:pStyle w:val="ListBullet"/>
        <w:spacing w:line="240" w:lineRule="auto"/>
        <w:ind w:left="720"/>
      </w:pPr>
      <w:r/>
      <w:r>
        <w:t>30% al 50% de avance de obra</w:t>
      </w:r>
      <w:r/>
    </w:p>
    <w:p>
      <w:pPr>
        <w:pStyle w:val="ListBullet"/>
        <w:spacing w:line="240" w:lineRule="auto"/>
        <w:ind w:left="720"/>
      </w:pPr>
      <w:r/>
      <w:r>
        <w:t>20% contra entrega y conformidad</w:t>
      </w:r>
      <w:r/>
      <w:r/>
      <w:r/>
      <w:r/>
      <w:r/>
    </w:p>
    <w:p>
      <w:pPr>
        <w:pStyle w:val="Heading2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CNE Suministro 2011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 internacional</w:t>
      </w:r>
      <w:r/>
    </w:p>
    <w:p>
      <w:pPr>
        <w:pStyle w:val="ListBullet"/>
        <w:spacing w:line="240" w:lineRule="auto"/>
        <w:ind w:left="720"/>
      </w:pPr>
      <w:r/>
      <w:r>
        <w:t>Mano de obra especializada y certificada</w:t>
      </w:r>
      <w:r/>
    </w:p>
    <w:p>
      <w:pPr>
        <w:pStyle w:val="ListBullet"/>
        <w:spacing w:line="240" w:lineRule="auto"/>
        <w:ind w:left="720"/>
      </w:pPr>
      <w:r/>
      <w:r>
        <w:t>Incluye transporte de materiales</w:t>
      </w:r>
      <w:r/>
    </w:p>
    <w:p>
      <w:pPr>
        <w:pStyle w:val="ListBullet"/>
        <w:spacing w:line="240" w:lineRule="auto"/>
        <w:ind w:left="720"/>
      </w:pPr>
      <w:r/>
      <w:r>
        <w:t>Pruebas y puesta en marcha incluidas</w:t>
      </w:r>
      <w:r/>
    </w:p>
    <w:p>
      <w:pPr>
        <w:pStyle w:val="ListBullet"/>
        <w:spacing w:line="240" w:lineRule="auto"/>
        <w:ind w:left="720"/>
      </w:pPr>
      <w:r/>
      <w:r>
        <w:t>Capacitación al personal del cliente</w:t>
      </w:r>
      <w:r/>
    </w:p>
    <w:p>
      <w:pPr>
        <w:pStyle w:val="ListBullet"/>
        <w:spacing w:line="240" w:lineRule="auto"/>
        <w:ind w:left="720"/>
      </w:pPr>
      <w:r/>
      <w:r>
        <w:t>Documentación técnica completa (planos as-built, protocolos, certificados)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Cotización válida por 30 días calendario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