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PRJ-CAMI-001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Cami Salon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PRJ-CAMI-001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El sistema eléctrico cumple con los estándares de seguridad.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l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z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o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p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v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v</w:t>
      </w:r>
    </w:p>
    <w:p>
      <w:pPr>
        <w:ind w:left="360"/>
      </w:pPr>
      <w:r>
        <w:rPr>
          <w:color w:val="374151"/>
          <w:sz w:val="24"/>
        </w:rPr>
        <w:t>● o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c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d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6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s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s</w:t>
      </w:r>
    </w:p>
    <w:p>
      <w:pPr>
        <w:ind w:left="360"/>
      </w:pPr>
      <w:r>
        <w:rPr>
          <w:color w:val="374151"/>
          <w:sz w:val="24"/>
        </w:rPr>
        <w:t>● 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