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Técnico</w:t>
      </w:r>
    </w:p>
    <w:p>
      <w:pPr>
        <w:jc w:val="center"/>
      </w:pPr>
      <w:r>
        <w:rPr>
          <w:color w:val="1E40AF"/>
          <w:sz w:val="28"/>
        </w:rPr>
        <w:t>Código: INF-TEC-001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Gerente 21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14/02/2026</w:t>
            </w:r>
          </w:p>
          <w:p>
            <w:r>
              <w:rPr>
                <w:sz w:val="24"/>
              </w:rPr>
              <w:t>Código: INF-TEC-001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Conclusiones del análisis...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Recomendación 1</w:t>
      </w:r>
    </w:p>
    <w:p>
      <w:pPr>
        <w:ind w:left="360"/>
      </w:pPr>
      <w:r>
        <w:rPr>
          <w:color w:val="374151"/>
          <w:sz w:val="24"/>
        </w:rPr>
        <w:t>● Recomendación 2</w:t>
      </w:r>
    </w:p>
    <w:p>
      <w:pPr>
        <w:ind w:left="360"/>
      </w:pPr>
      <w:r>
        <w:rPr>
          <w:color w:val="374151"/>
          <w:sz w:val="24"/>
        </w:rPr>
        <w:t>● Recomendación 3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