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Informe Ejecutivo APA: Justificación Inversión Sistema Eléctrico Hospitalario - Análisis Social</w:t>
      </w:r>
      <w:r/>
      <w:r/>
      <w:r/>
      <w:r>
        <w:t>Elaborado para:</w:t>
      </w:r>
      <w:r/>
      <w:r>
        <w:t>MINISTERIO DE SALUD - DIRESA JUNÍN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14/12/2025</w:t>
      </w:r>
      <w:r/>
      <w:r>
        <w:t>Código del Informe: INF-EXE-202512-003-APA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Informe ejecutivo académico formato APA 7th para sustentación de inversión pública en sistema eléctrico hospitalario. Incluye: análisis de impacto social (atención 150,000 pacientes/año), evaluación económica con metodología SNIP, cálculo de beneficios sociales cuantificables, análisis de riesgo, sostenibilidad operativa y conclusiones con evidencia científica. Inversión socialmente rentable con indicadores VAN social positivo.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$ 850,000.00</w:t>
      </w:r>
      <w:r/>
    </w:p>
    <w:p>
      <w:pPr>
        <w:pStyle w:val="ListBullet"/>
        <w:spacing w:line="240" w:lineRule="auto"/>
        <w:ind w:left="720"/>
      </w:pPr>
      <w:r/>
      <w:r>
        <w:t>ROI estimado: 18%</w:t>
      </w:r>
      <w:r/>
    </w:p>
    <w:p>
      <w:pPr>
        <w:pStyle w:val="ListBullet"/>
        <w:spacing w:line="240" w:lineRule="auto"/>
        <w:ind w:left="720"/>
      </w:pPr>
      <w:r/>
      <w:r>
        <w:t>Período de retorno: 36 meses</w:t>
      </w:r>
      <w:r/>
    </w:p>
    <w:p>
      <w:pPr>
        <w:pStyle w:val="ListBullet"/>
        <w:spacing w:line="240" w:lineRule="auto"/>
        <w:ind w:left="720"/>
      </w:pPr>
      <w:r/>
      <w:r>
        <w:t>TIR proyectada: 22%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$ 850,000.00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MINISTERIO DE SALUD - DIRESA JUNÍN requiere implementar un sistema de Estudio de Inversión Pública - Sistema Eléctrico Hospital Regional para optimizar sus operaciones y cumplir con la normativa NTS Nº 113-MINSA, Sistema Nacional de Inversión Pública, PMBoK 7th, NFPA 99.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NTS Nº 113-MINSA, Sistema Nacional de Inversión Pública, PMBoK 7th, NFPA 99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18%</w:t>
      </w:r>
      <w:r/>
      <w:r>
        <w:t>Retorno de Inversión</w:t>
      </w:r>
      <w:r/>
      <w:r/>
      <w:r/>
      <w:r>
        <w:t>Payback</w:t>
      </w:r>
      <w:r/>
      <w:r>
        <w:t>36</w:t>
      </w:r>
      <w:r/>
      <w:r>
        <w:t>Meses de recuperación</w:t>
      </w:r>
      <w:r/>
      <w:r/>
      <w:r/>
      <w:r>
        <w:t>TIR</w:t>
      </w:r>
      <w:r/>
      <w:r>
        <w:t>22%</w:t>
      </w:r>
      <w:r/>
      <w:r>
        <w:t>Tasa Interna de Retorno</w:t>
      </w:r>
      <w:r/>
      <w:r/>
      <w:r/>
      <w:r>
        <w:t>Ahorro Anual</w:t>
      </w:r>
      <w:r/>
      <w:r>
        <w:t>$ 95.0K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$ 180,000.00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$ 595,000.00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$ 170,000.00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$ 85,000.00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$ 850,000.00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18% a 5 años, con un período de recuperación de 36 meses. La TIR estimada de 22%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$ 95.0K USD. Los beneficios acumulados superarán la inversión inicial en un plazo de 36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NTS Nº 113-MINSA, Sistema Nacional de Inversión Pública, PMBoK 7th, NFPA 99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18%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NTS Nº 113-MINSA, Sistema Nacional de Inversión Pública, PMBoK 7th, NFPA 99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