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bcokqh2_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8B0000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8B0000"/>
          <w:sz w:val="60"/>
        </w:rPr>
        <w:t>PROJECT CHARTER</w:t>
      </w:r>
    </w:p>
    <w:p>
      <w:pPr>
        <w:jc w:val="center"/>
      </w:pPr>
      <w:r>
        <w:rPr>
          <w:i/>
          <w:color w:val="991B1B"/>
          <w:sz w:val="28"/>
        </w:rPr>
        <w:t>Gestión de Proyectos según Metodología PMI</w:t>
      </w:r>
    </w:p>
    <w:p>
      <w:pPr>
        <w:jc w:val="center"/>
      </w:pPr>
      <w:r>
        <w:rPr>
          <w:color w:val="991B1B"/>
          <w:sz w:val="36"/>
        </w:rPr>
        <w:t>ELECTRICIDAD - CONSTRUCCION</w:t>
      </w:r>
    </w:p>
    <w:p>
      <w:pPr>
        <w:jc w:val="center"/>
      </w:pPr>
      <w:r>
        <w:rPr>
          <w:b/>
          <w:color w:val="991B1B"/>
          <w:sz w:val="28"/>
        </w:rPr>
        <w:t>PROY-1769628977228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8B0000"/>
                <w:sz w:val="28"/>
              </w:rPr>
              <w:t>3 meses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8B0000"/>
                <w:sz w:val="28"/>
              </w:rPr>
              <w:t>28/1/2026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8B0000"/>
                <w:sz w:val="28"/>
              </w:rPr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8B0000"/>
          <w:sz w:val="72"/>
        </w:rPr>
        <w:t>S/ 0</w:t>
      </w:r>
    </w:p>
    <w:p/>
    <w:p>
      <w:r>
        <w:rPr>
          <w:b/>
          <w:color w:val="8B0000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8B0000"/>
                <w:sz w:val="40"/>
              </w:rPr>
              <w:t>1.00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8B0000"/>
                <w:sz w:val="40"/>
              </w:rPr>
              <w:t>1.00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8B0000"/>
                <w:sz w:val="40"/>
              </w:rPr>
              <w:t>S/0K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8B0000"/>
                <w:sz w:val="40"/>
              </w:rPr>
              <w:t>S/0K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8B0000"/>
                <w:sz w:val="40"/>
              </w:rPr>
              <w:t>S/0K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8B0000"/>
          <w:sz w:val="36"/>
        </w:rPr>
        <w:t>ALCANCE DEL PROYECTO (WBS Level 1)</w:t>
      </w:r>
    </w:p>
    <w:p/>
    <w:p>
      <w:r>
        <w:rPr>
          <w:b/>
          <w:color w:val="FF0000"/>
        </w:rPr>
        <w:t>[ERROR GENERANDO SECCIÓN Alcance: list index out of range]</w:t>
      </w:r>
    </w:p>
    <w:p>
      <w:r>
        <w:rPr>
          <w:b/>
          <w:color w:val="8B0000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8B0000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8B0000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8B0000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8B0000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8B0000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8B0000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8B0000"/>
                <w:sz w:val="22"/>
              </w:rPr>
              <w:t>5 días</w:t>
            </w:r>
          </w:p>
        </w:tc>
      </w:tr>
    </w:tbl>
    <w:p/>
    <w:p>
      <w:r>
        <w:rPr>
          <w:b/>
          <w:color w:val="DC2626"/>
          <w:sz w:val="24"/>
        </w:rPr>
        <w:t>DURACIÓN TOTAL ESTIMADA: 66 días hábiles</w:t>
      </w:r>
    </w:p>
    <w:p/>
    <w:p/>
    <w:p>
      <w:r>
        <w:rPr>
          <w:b/>
          <w:color w:val="8B0000"/>
          <w:sz w:val="36"/>
        </w:rPr>
        <w:t>REGISTRO DE STAKEHOLDERS</w:t>
      </w:r>
    </w:p>
    <w:p>
      <w:r>
        <w:rPr>
          <w:b/>
          <w:color w:val="8B0000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8B0000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8B0000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8B0000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8B0000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8B0000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8B0000"/>
          <w:sz w:val="36"/>
        </w:rPr>
        <w:t>RECURSOS Y MATERIALES CRÍTICOS</w:t>
      </w:r>
    </w:p>
    <w:p>
      <w:r>
        <w:rPr>
          <w:b/>
          <w:color w:val="991B1B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991B1B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8B0000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8B0000"/>
          <w:sz w:val="28"/>
        </w:rPr>
        <w:t>CNE Suministro 2011</w:t>
      </w:r>
    </w:p>
    <w:p>
      <w:r>
        <w:rPr>
          <w:color w:val="6B7280"/>
          <w:sz w:val="22"/>
        </w:rPr>
      </w:r>
    </w:p>
    <w:p/>
    <w:p/>
    <w:p/>
    <w:p>
      <w:pPr>
        <w:jc w:val="center"/>
      </w:pPr>
      <w:r>
        <w:rPr>
          <w:b/>
          <w:color w:val="8B0000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