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{{ TITULO_DOCUMENTO }}</w:t>
      </w:r>
    </w:p>
    <w:p>
      <w:pPr>
        <w:jc w:val="center"/>
      </w:pPr>
      <w:r>
        <w:t>Código: {{ CODIGO_DOC }} | Fecha: {{ FECHA_DOC }}</w:t>
      </w:r>
    </w:p>
    <w:p>
      <w:pPr>
        <w:pStyle w:val="Heading2"/>
      </w:pPr>
      <w:r>
        <w:t>Detalle de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DESCRIPCIÓN</w:t>
            </w:r>
          </w:p>
        </w:tc>
        <w:tc>
          <w:tcPr>
            <w:tcW w:type="dxa" w:w="1440"/>
          </w:tcPr>
          <w:p>
            <w:r>
              <w:t>CANT.</w:t>
            </w:r>
          </w:p>
        </w:tc>
        <w:tc>
          <w:tcPr>
            <w:tcW w:type="dxa" w:w="1440"/>
          </w:tcPr>
          <w:p>
            <w:r>
              <w:t>UND</w:t>
            </w:r>
          </w:p>
        </w:tc>
        <w:tc>
          <w:tcPr>
            <w:tcW w:type="dxa" w:w="1440"/>
          </w:tcPr>
          <w:p>
            <w:r>
              <w:t>P.UNIT</w:t>
            </w:r>
          </w:p>
        </w:tc>
        <w:tc>
          <w:tcPr>
            <w:tcW w:type="dxa" w:w="1440"/>
          </w:tcPr>
          <w:p>
            <w:r>
              <w:t>TOTAL</w:t>
            </w:r>
          </w:p>
        </w:tc>
      </w:tr>
      <w:tr>
        <w:tc>
          <w:tcPr>
            <w:tcW w:type="dxa" w:w="1440"/>
          </w:tcPr>
          <w:p>
            <w:r>
              <w:t>{% for i in items %}{{ i.item }}</w:t>
            </w:r>
          </w:p>
        </w:tc>
        <w:tc>
          <w:tcPr>
            <w:tcW w:type="dxa" w:w="1440"/>
          </w:tcPr>
          <w:p>
            <w:r>
              <w:t>{{ i.descripcion }}</w:t>
            </w:r>
          </w:p>
        </w:tc>
        <w:tc>
          <w:tcPr>
            <w:tcW w:type="dxa" w:w="1440"/>
          </w:tcPr>
          <w:p>
            <w:r>
              <w:t>{{ i.cantidad }}</w:t>
            </w:r>
          </w:p>
        </w:tc>
        <w:tc>
          <w:tcPr>
            <w:tcW w:type="dxa" w:w="1440"/>
          </w:tcPr>
          <w:p>
            <w:r>
              <w:t>{{ i.unidad }}</w:t>
            </w:r>
          </w:p>
        </w:tc>
        <w:tc>
          <w:tcPr>
            <w:tcW w:type="dxa" w:w="1440"/>
          </w:tcPr>
          <w:p>
            <w:r>
              <w:t>{{ i.precio_unitario }}</w:t>
            </w:r>
          </w:p>
        </w:tc>
        <w:tc>
          <w:tcPr>
            <w:tcW w:type="dxa" w:w="1440"/>
          </w:tcPr>
          <w:p>
            <w:r>
              <w:t>{{ i.total }}{% endfor %}</w:t>
            </w:r>
          </w:p>
        </w:tc>
      </w:tr>
    </w:tbl>
    <w:p>
      <w:r>
        <w:br/>
      </w:r>
    </w:p>
    <w:p>
      <w:pPr>
        <w:jc w:val="right"/>
      </w:pPr>
      <w:r>
        <w:t>SUBTOTAL: {{ SUBTOTAL }}</w:t>
        <w:br/>
      </w:r>
      <w:r>
        <w:t>IGV: {{ IGV }}</w:t>
        <w:br/>
      </w:r>
      <w:r>
        <w:rPr>
          <w:b/>
        </w:rPr>
        <w:t>TOTAL: {{ TOTAL }}</w:t>
      </w:r>
    </w:p>
    <w:p>
      <w:pPr>
        <w:jc w:val="center"/>
      </w:pPr>
      <w:r>
        <w:rPr>
          <w:b/>
          <w:color w:val="A855F7"/>
          <w:sz w:val="56"/>
        </w:rPr>
        <w:t>COTIZACIÓN DE SERVICIOS</w:t>
      </w:r>
    </w:p>
    <w:p>
      <w:pPr>
        <w:jc w:val="center"/>
      </w:pPr>
      <w:r>
        <w:rPr>
          <w:b/>
          <w:color w:val="7E22CE"/>
          <w:sz w:val="32"/>
        </w:rPr>
        <w:t>N° DOC-Studio_User-1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op w:sz="12" w:val="single" w:color="A855F7"/>
            <w:left w:sz="12" w:val="single" w:color="A855F7"/>
            <w:bottom w:sz="12" w:val="single" w:color="A855F7"/>
            <w:right w:sz="12" w:val="single" w:color="A855F7"/>
          </w:tcPr>
          <w:p>
            <w:r>
              <w:rPr>
                <w:b/>
                <w:color w:val="A855F7"/>
                <w:sz w:val="22"/>
              </w:rPr>
              <w:t>DATOS DEL CLIENTE</w:t>
            </w:r>
          </w:p>
          <w:p>
            <w:r>
              <w:rPr>
                <w:sz w:val="20"/>
              </w:rPr>
              <w:t xml:space="preserve">Cliente: </w:t>
            </w:r>
          </w:p>
          <w:p>
            <w:r>
              <w:rPr>
                <w:sz w:val="20"/>
              </w:rPr>
              <w:t>Proyecto: Proyecto Serv.1</w:t>
            </w:r>
          </w:p>
          <w:p>
            <w:r>
              <w:rPr>
                <w:sz w:val="20"/>
              </w:rPr>
              <w:t>Área: 0 m²</w:t>
            </w:r>
          </w:p>
        </w:tc>
        <w:tc>
          <w:tcPr>
            <w:tcW w:type="dxa" w:w="4320"/>
            <w:top w:sz="12" w:val="single" w:color="A855F7"/>
            <w:left w:sz="12" w:val="single" w:color="A855F7"/>
            <w:bottom w:sz="12" w:val="single" w:color="A855F7"/>
            <w:right w:sz="12" w:val="single" w:color="A855F7"/>
          </w:tcPr>
          <w:p>
            <w:r>
              <w:rPr>
                <w:b/>
                <w:color w:val="A855F7"/>
                <w:sz w:val="22"/>
              </w:rPr>
              <w:t>DATOS DE LA COTIZACIÓN</w:t>
            </w:r>
          </w:p>
          <w:p>
            <w:r>
              <w:rPr>
                <w:sz w:val="20"/>
              </w:rPr>
              <w:t xml:space="preserve">Fecha: </w:t>
            </w:r>
          </w:p>
          <w:p>
            <w:r>
              <w:rPr>
                <w:sz w:val="20"/>
              </w:rPr>
              <w:t>Vigencia: 30 días</w:t>
            </w:r>
          </w:p>
          <w:p>
            <w:r>
              <w:rPr>
                <w:sz w:val="20"/>
              </w:rPr>
              <w:t>Servicio: Instalaciones Eléctricas</w:t>
            </w:r>
          </w:p>
        </w:tc>
      </w:tr>
    </w:tbl>
    <w:p/>
    <w:p>
      <w:r>
        <w:rPr>
          <w:b/>
          <w:color w:val="A855F7"/>
          <w:sz w:val="28"/>
        </w:rPr>
        <w:t>Detalle de la Cotización</w:t>
      </w:r>
    </w:p>
    <w:p>
      <w:r>
        <w:t>No hay items en esta cotización</w:t>
      </w:r>
    </w:p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SUBTOTAL:</w:t>
            </w:r>
          </w:p>
        </w:tc>
        <w:tc>
          <w:tcPr>
            <w:tcW w:type="dxa" w:w="4320"/>
          </w:tcPr>
          <w:p>
            <w:r>
              <w:t>S/ 0.00</w:t>
            </w:r>
          </w:p>
        </w:tc>
      </w:tr>
      <w:tr>
        <w:tc>
          <w:tcPr>
            <w:tcW w:type="dxa" w:w="4320"/>
          </w:tcPr>
          <w:p>
            <w:r>
              <w:t>IGV (18%):</w:t>
            </w:r>
          </w:p>
        </w:tc>
        <w:tc>
          <w:tcPr>
            <w:tcW w:type="dxa" w:w="4320"/>
          </w:tcPr>
          <w:p>
            <w:r>
              <w:t>S/ 0.00</w:t>
            </w:r>
          </w:p>
        </w:tc>
      </w:tr>
      <w:tr>
        <w:tc>
          <w:tcPr>
            <w:tcW w:type="dxa" w:w="4320"/>
            <w:shd w:fill="A855F7"/>
            <w:top w:sz="8" w:val="single" w:color="A855F7"/>
            <w:left w:sz="8" w:val="single" w:color="A855F7"/>
            <w:bottom w:sz="8" w:val="single" w:color="A855F7"/>
            <w:right w:sz="8" w:val="single" w:color="A855F7"/>
          </w:tcPr>
          <w:p>
            <w:r>
              <w:rPr>
                <w:b/>
                <w:color w:val="FFFFFF"/>
                <w:sz w:val="28"/>
              </w:rPr>
              <w:t>TOTAL:</w:t>
            </w:r>
          </w:p>
        </w:tc>
        <w:tc>
          <w:tcPr>
            <w:tcW w:type="dxa" w:w="4320"/>
            <w:shd w:fill="A855F7"/>
            <w:top w:sz="8" w:val="single" w:color="A855F7"/>
            <w:left w:sz="8" w:val="single" w:color="A855F7"/>
            <w:bottom w:sz="8" w:val="single" w:color="A855F7"/>
            <w:right w:sz="8" w:val="single" w:color="A855F7"/>
          </w:tcPr>
          <w:p>
            <w:r>
              <w:rPr>
                <w:b/>
                <w:color w:val="FFFFFF"/>
                <w:sz w:val="28"/>
              </w:rPr>
              <w:t>S/ 0.00</w:t>
            </w:r>
          </w:p>
        </w:tc>
      </w:tr>
    </w:tbl>
    <w:p/>
    <w:p>
      <w:r>
        <w:rPr>
          <w:b/>
          <w:color w:val="A855F7"/>
          <w:sz w:val="24"/>
        </w:rPr>
        <w:t>Observaciones Técnicas</w:t>
      </w:r>
    </w:p>
    <w:p>
      <w:pPr>
        <w:pStyle w:val="ListBullet"/>
      </w:pPr>
      <w:r>
        <w:rPr>
          <w:sz w:val="20"/>
        </w:rPr>
        <w:t>Trabajos ejecutados según CNE - Código Nacional de Electricidad</w:t>
      </w:r>
    </w:p>
    <w:p>
      <w:pPr>
        <w:pStyle w:val="ListBullet"/>
      </w:pPr>
      <w:r>
        <w:rPr>
          <w:sz w:val="20"/>
        </w:rPr>
        <w:t>Materiales de primera calidad con certificación</w:t>
      </w:r>
    </w:p>
    <w:p>
      <w:pPr>
        <w:pStyle w:val="ListBullet"/>
      </w:pPr>
      <w:r>
        <w:rPr>
          <w:sz w:val="20"/>
        </w:rPr>
        <w:t>Mano de obra especializada</w:t>
      </w:r>
    </w:p>
    <w:p>
      <w:pPr>
        <w:pStyle w:val="ListBullet"/>
      </w:pPr>
      <w:r>
        <w:rPr>
          <w:sz w:val="20"/>
        </w:rPr>
        <w:t>Garantía de 12 meses en mano de obra</w:t>
      </w:r>
    </w:p>
    <w:p>
      <w:pPr>
        <w:pStyle w:val="ListBullet"/>
      </w:pPr>
      <w:r>
        <w:rPr>
          <w:sz w:val="20"/>
        </w:rPr>
        <w:t>Precios en PEN</w:t>
      </w:r>
    </w:p>
    <w:p>
      <w:pPr>
        <w:pStyle w:val="ListBullet"/>
      </w:pPr>
      <w:r>
        <w:rPr>
          <w:sz w:val="20"/>
        </w:rPr>
        <w:t>Forma de pago: 50% adelanto, 50% contra entrega</w:t>
      </w:r>
    </w:p>
    <w:p>
      <w:pPr>
        <w:pStyle w:val="ListBullet"/>
      </w:pPr>
      <w:r>
        <w:rPr>
          <w:sz w:val="20"/>
        </w:rPr>
        <w:t>Cotización válida por 30 días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Generado por Protocolo RALFTH Oro - Espejo Inmaculado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0052A3"/>
      </w:rPr>
      <w:t>N04 SOBERANA - DOCUMENTO DE ALTA FIDELIDAD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