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</w:p>
    <w:p>
      <w:pPr>
        <w:pStyle w:val="Heading1"/>
      </w:pPr>
      <w:r>
        <w:t>INFORME EJECUTIVO:</w:t>
        <w:br/>
      </w:r>
      <w:r>
        <w:t>ANÁLISIS DE VIABILIDAD DEL PROYECTO</w:t>
        <w:br/>
      </w:r>
      <w:r>
        <w:t>Proyecto Ejecutivo Demo</w:t>
      </w:r>
      <w:r/>
      <w:r/>
      <w:r/>
      <w:r>
        <w:t>Elaborado para:</w:t>
      </w:r>
      <w:r/>
      <w:r>
        <w:t>TOTAL ARTEFACTOS S.A.</w:t>
      </w:r>
      <w:r/>
      <w:r>
        <w:t>Preparado por:</w:t>
      </w:r>
      <w:r/>
      <w:r>
        <w:t>Tesla Electricidad y Automatización S.A.C.</w:t>
      </w:r>
      <w:r/>
      <w:r>
        <w:t>Departamento de Gestión de Proyectos</w:t>
      </w:r>
      <w:r/>
      <w:r>
        <w:t>17/02/2026</w:t>
      </w:r>
      <w:r/>
      <w:r>
        <w:t>Código del Informe: INF-000000-EXE</w:t>
      </w:r>
      <w:r/>
      <w:r/>
      <w:r/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Email: ingenieria.teslaelectricidad@gmail.com</w:t>
      </w:r>
      <w:r/>
      <w:r/>
      <w:r/>
      <w:r/>
      <w:r/>
    </w:p>
    <w:p>
      <w:pPr>
        <w:pStyle w:val="Heading2"/>
      </w:pPr>
      <w:r>
        <w:t>Executive Summary</w:t>
      </w:r>
      <w:r/>
    </w:p>
    <w:p>
      <w:r/>
      <w:r>
        <w:t>Resumen ejecutivo del análisis de viabilidad</w:t>
      </w:r>
      <w:r/>
      <w:r/>
    </w:p>
    <w:p>
      <w:r/>
      <w:r>
        <w:rPr>
          <w:b/>
        </w:rPr>
        <w:t>Hallazgos Principales:</w:t>
      </w:r>
      <w:r/>
      <w:r/>
    </w:p>
    <w:p>
      <w:pPr>
        <w:pStyle w:val="ListBullet"/>
        <w:spacing w:line="240" w:lineRule="auto"/>
        <w:ind w:left="720"/>
      </w:pPr>
      <w:r/>
      <w:r>
        <w:t>Inversión requerida: $ 50,000.00</w:t>
      </w:r>
      <w:r/>
    </w:p>
    <w:p>
      <w:pPr>
        <w:pStyle w:val="ListBullet"/>
        <w:spacing w:line="240" w:lineRule="auto"/>
        <w:ind w:left="720"/>
      </w:pPr>
      <w:r/>
      <w:r>
        <w:t>ROI estimado: 25%</w:t>
      </w:r>
      <w:r/>
    </w:p>
    <w:p>
      <w:pPr>
        <w:pStyle w:val="ListBullet"/>
        <w:spacing w:line="240" w:lineRule="auto"/>
        <w:ind w:left="720"/>
      </w:pPr>
      <w:r/>
      <w:r>
        <w:t>Período de retorno: 18 meses</w:t>
      </w:r>
      <w:r/>
    </w:p>
    <w:p>
      <w:pPr>
        <w:pStyle w:val="ListBullet"/>
        <w:spacing w:line="240" w:lineRule="auto"/>
        <w:ind w:left="720"/>
      </w:pPr>
      <w:r/>
      <w:r>
        <w:t>TIR proyectada: 30%</w:t>
      </w:r>
      <w:r/>
      <w:r/>
    </w:p>
    <w:p>
      <w:r/>
      <w:r>
        <w:rPr>
          <w:b/>
        </w:rPr>
        <w:t>Recomendación:</w:t>
      </w:r>
      <w:r/>
    </w:p>
    <w:p>
      <w:r/>
      <w:r>
        <w:t>Se recomienda aprobar el proyecto dada su alta viabilidad técnica y financiera.</w:t>
      </w:r>
      <w:r/>
      <w:r/>
      <w:r/>
      <w:r/>
      <w:r/>
      <w:r>
        <w:t>INVERSIÓN TOTAL REQUERIDA</w:t>
      </w:r>
      <w:r/>
      <w:r>
        <w:t>$ 50,000.00</w:t>
      </w:r>
      <w:r/>
      <w:r/>
      <w:r/>
      <w:r/>
    </w:p>
    <w:p>
      <w:pPr>
        <w:pStyle w:val="Heading2"/>
      </w:pPr>
      <w:r>
        <w:t>1. Análisis de Situación</w:t>
      </w:r>
      <w:r/>
    </w:p>
    <w:p>
      <w:pPr>
        <w:pStyle w:val="Heading3"/>
      </w:pPr>
      <w:r>
        <w:t>1.1. Contexto Organizacional</w:t>
      </w:r>
      <w:r/>
    </w:p>
    <w:p>
      <w:r/>
      <w:r>
        <w:t>TOTAL ARTEFACTOS S.A. requiere implementar un sistema de Servicio 15 para optimizar sus operaciones y cumplir con la normativa CNE Suministro 2011. La organización busca modernizar sus instalaciones para mejorar la eficiencia operativa y garantizar el cumplimiento de las regulaciones vigentes.</w:t>
      </w:r>
      <w:r/>
    </w:p>
    <w:p>
      <w:pPr>
        <w:pStyle w:val="Heading3"/>
      </w:pPr>
      <w:r>
        <w:t>1.2. Problemática Identificada</w:t>
      </w:r>
      <w:r/>
      <w:r/>
      <w:r/>
      <w:r>
        <w:t>Equipos Obsoletos</w:t>
      </w:r>
      <w:r/>
      <w:r>
        <w:t>Sistemas actuales con tecnología desactualizada que requieren reemplazo</w:t>
      </w:r>
      <w:r/>
      <w:r/>
      <w:r/>
      <w:r>
        <w:t>Incumplimiento Normativo</w:t>
      </w:r>
      <w:r/>
      <w:r>
        <w:t>Necesidad de actualización para cumplir con regulaciones actuales</w:t>
      </w:r>
      <w:r/>
      <w:r/>
      <w:r/>
      <w:r>
        <w:t>Ineficiencia Operativa</w:t>
      </w:r>
      <w:r/>
      <w:r>
        <w:t>Costos operativos elevados por falta de optimización</w:t>
      </w:r>
      <w:r/>
      <w:r/>
      <w:r/>
    </w:p>
    <w:p>
      <w:pPr>
        <w:pStyle w:val="Heading3"/>
      </w:pPr>
      <w:r>
        <w:t>1.3. Oportunidades de Mejora</w:t>
      </w:r>
      <w:r/>
      <w:r/>
    </w:p>
    <w:p>
      <w:pPr>
        <w:pStyle w:val="ListBullet"/>
        <w:spacing w:line="240" w:lineRule="auto"/>
        <w:ind w:left="720"/>
      </w:pPr>
      <w:r/>
      <w:r>
        <w:t>Reducción significativa de costos operativos mediante modernización</w:t>
      </w:r>
      <w:r/>
    </w:p>
    <w:p>
      <w:pPr>
        <w:pStyle w:val="ListBullet"/>
        <w:spacing w:line="240" w:lineRule="auto"/>
        <w:ind w:left="720"/>
      </w:pPr>
      <w:r/>
      <w:r>
        <w:t>Mejora en los índices de seguridad y confiabilidad del sistema</w:t>
      </w:r>
      <w:r/>
    </w:p>
    <w:p>
      <w:pPr>
        <w:pStyle w:val="ListBullet"/>
        <w:spacing w:line="240" w:lineRule="auto"/>
        <w:ind w:left="720"/>
      </w:pPr>
      <w:r/>
      <w:r>
        <w:t>Cumplimiento total de la normativa CNE Suministro 2011</w:t>
      </w:r>
      <w:r/>
    </w:p>
    <w:p>
      <w:pPr>
        <w:pStyle w:val="ListBullet"/>
        <w:spacing w:line="240" w:lineRule="auto"/>
        <w:ind w:left="720"/>
      </w:pPr>
      <w:r/>
      <w:r>
        <w:t>Incremento de la eficiencia energética y operativa</w:t>
      </w:r>
      <w:r/>
      <w:r/>
      <w:r/>
      <w:r/>
      <w:r/>
    </w:p>
    <w:p>
      <w:pPr>
        <w:pStyle w:val="Heading2"/>
      </w:pPr>
      <w:r>
        <w:t>2. Métricas y Indicadores Clave de Desempeño</w:t>
      </w:r>
      <w:r/>
      <w:r/>
      <w:r/>
      <w:r>
        <w:t>ROI Estimado</w:t>
      </w:r>
      <w:r/>
      <w:r>
        <w:t>25%</w:t>
      </w:r>
      <w:r/>
      <w:r>
        <w:t>Retorno de Inversión</w:t>
      </w:r>
      <w:r/>
      <w:r/>
      <w:r/>
      <w:r>
        <w:t>Payback</w:t>
      </w:r>
      <w:r/>
      <w:r>
        <w:t>18</w:t>
      </w:r>
      <w:r/>
      <w:r>
        <w:t>Meses de recuperación</w:t>
      </w:r>
      <w:r/>
      <w:r/>
      <w:r/>
      <w:r>
        <w:t>TIR</w:t>
      </w:r>
      <w:r/>
      <w:r>
        <w:t>30%</w:t>
      </w:r>
      <w:r/>
      <w:r>
        <w:t>Tasa Interna de Retorno</w:t>
      </w:r>
      <w:r/>
      <w:r/>
      <w:r/>
      <w:r>
        <w:t>Ahorro Anual</w:t>
      </w:r>
      <w:r/>
      <w:r>
        <w:t>$ 7.5K</w:t>
      </w:r>
      <w:r/>
      <w:r>
        <w:t>Proyección de ahorro</w:t>
      </w:r>
      <w:r/>
      <w:r/>
      <w:r/>
    </w:p>
    <w:p>
      <w:pPr>
        <w:pStyle w:val="Heading3"/>
      </w:pPr>
      <w:r>
        <w:t>2.1. Métricas de Eficiencia</w:t>
      </w:r>
      <w:r/>
      <w:r/>
    </w:p>
    <w:p>
      <w:pPr>
        <w:pStyle w:val="ListBullet"/>
        <w:spacing w:line="240" w:lineRule="auto"/>
        <w:ind w:left="720"/>
      </w:pPr>
      <w:r/>
      <w:r>
        <w:t>Reducción de costos operativos: 20%</w:t>
      </w:r>
      <w:r/>
    </w:p>
    <w:p>
      <w:pPr>
        <w:pStyle w:val="ListBullet"/>
        <w:spacing w:line="240" w:lineRule="auto"/>
        <w:ind w:left="720"/>
      </w:pPr>
      <w:r/>
      <w:r>
        <w:t>Incremento de eficiencia: 35%</w:t>
      </w:r>
      <w:r/>
    </w:p>
    <w:p>
      <w:pPr>
        <w:pStyle w:val="ListBullet"/>
        <w:spacing w:line="240" w:lineRule="auto"/>
        <w:ind w:left="720"/>
      </w:pPr>
      <w:r/>
      <w:r>
        <w:t>Ahorro energético anual proyectado: $ 7,500.00</w:t>
      </w:r>
      <w:r/>
    </w:p>
    <w:p>
      <w:pPr>
        <w:pStyle w:val="ListBullet"/>
        <w:spacing w:line="240" w:lineRule="auto"/>
        <w:ind w:left="720"/>
      </w:pPr>
      <w:r/>
      <w:r>
        <w:t>Reducción de tiempos de mantenimiento: 40%</w:t>
      </w:r>
      <w:r/>
      <w:r/>
    </w:p>
    <w:p>
      <w:pPr>
        <w:pStyle w:val="Heading3"/>
      </w:pPr>
      <w:r>
        <w:t>2.2. Comparativa con Benchmarks</w:t>
      </w:r>
      <w:r/>
    </w:p>
    <w:p>
      <w:r/>
      <w:r>
        <w:t>El proyecto supera los estándares del mercado en términos de ROI y eficiencia operativa. Los indicadores proyectados se encuentran un 25% por encima del promedio de la industria para proyectos similares.</w:t>
      </w:r>
      <w:r/>
      <w:r/>
      <w:r/>
      <w:r/>
    </w:p>
    <w:p>
      <w:pPr>
        <w:pStyle w:val="Heading2"/>
      </w:pPr>
      <w:r>
        <w:t>3. Análisis Financiero Detallado</w:t>
      </w:r>
      <w:r/>
    </w:p>
    <w:p>
      <w:pPr>
        <w:pStyle w:val="Heading3"/>
      </w:pPr>
      <w:r>
        <w:t>3.1. Inversión Requerida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Monto (USD)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r>
              <w:t>Inversión en equipos y materiales</w:t>
            </w:r>
          </w:p>
        </w:tc>
        <w:tc>
          <w:tcPr>
            <w:tcW w:type="dxa" w:w="2880"/>
          </w:tcPr>
          <w:p>
            <w:r>
              <w:t>$ 35,000.00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Mano de obra e instalación</w:t>
            </w:r>
          </w:p>
        </w:tc>
        <w:tc>
          <w:tcPr>
            <w:tcW w:type="dxa" w:w="2880"/>
          </w:tcPr>
          <w:p>
            <w:r>
              <w:t>$ 10,000.00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Capital de trabajo y contingencias</w:t>
            </w:r>
          </w:p>
        </w:tc>
        <w:tc>
          <w:tcPr>
            <w:tcW w:type="dxa" w:w="2880"/>
          </w:tcPr>
          <w:p>
            <w:r>
              <w:t>$ 5,000.00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TOTAL INVERSIÓN</w:t>
            </w:r>
          </w:p>
        </w:tc>
        <w:tc>
          <w:tcPr>
            <w:tcW w:type="dxa" w:w="2880"/>
          </w:tcPr>
          <w:p>
            <w:r>
              <w:t>$ 50,000.00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/>
    </w:p>
    <w:p>
      <w:pPr>
        <w:pStyle w:val="Heading3"/>
      </w:pPr>
      <w:r>
        <w:t>3.2. Retorno de Inversión (ROI)</w:t>
      </w:r>
      <w:r/>
    </w:p>
    <w:p>
      <w:r/>
      <w:r>
        <w:t>El análisis financiero proyecta un ROI de 25% a 5 años, con un período de recuperación de 18 meses. La TIR estimada de 30% supera ampliamente el costo de oportunidad del capital.</w:t>
      </w:r>
      <w:r/>
    </w:p>
    <w:p>
      <w:pPr>
        <w:pStyle w:val="Heading3"/>
      </w:pPr>
      <w:r>
        <w:t>3.3. Flujo de Caja Proyectado</w:t>
      </w:r>
      <w:r/>
    </w:p>
    <w:p>
      <w:r/>
      <w:r>
        <w:t>Se proyecta un flujo de caja positivo a partir del mes 6, con ahorros operativos anuales estimados en $ 7.5K USD. Los beneficios acumulados superarán la inversión inicial en un plazo de 18 meses.</w:t>
      </w:r>
      <w:r/>
      <w:r/>
      <w:r/>
      <w:r/>
    </w:p>
    <w:p>
      <w:pPr>
        <w:pStyle w:val="Heading2"/>
      </w:pPr>
      <w:r>
        <w:t>4. Evaluación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2160"/>
          </w:tcPr>
          <w:p>
            <w:r>
              <w:t>Retrasos en entrega de equipos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 de equipos críticos</w:t>
            </w:r>
          </w:p>
        </w:tc>
      </w:tr>
      <w:tr>
        <w:tc>
          <w:tcPr>
            <w:tcW w:type="dxa" w:w="2160"/>
          </w:tcPr>
          <w:p>
            <w:r>
              <w:t>Variación de precios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Cláusulas de precio fijo en contratos</w:t>
            </w:r>
          </w:p>
        </w:tc>
      </w:tr>
      <w:tr>
        <w:tc>
          <w:tcPr>
            <w:tcW w:type="dxa" w:w="2160"/>
          </w:tcPr>
          <w:p>
            <w:r>
              <w:t>Cambios en el alcance del proyecto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 riguroso con aprobaciones</w:t>
            </w:r>
          </w:p>
        </w:tc>
      </w:tr>
    </w:tbl>
    <w:p>
      <w:r/>
      <w:r/>
      <w:r/>
      <w:r/>
    </w:p>
    <w:p>
      <w:pPr>
        <w:pStyle w:val="Heading2"/>
      </w:pPr>
      <w:r>
        <w:t>5. Plan de Implementación</w:t>
      </w:r>
      <w:r/>
    </w:p>
    <w:p>
      <w:pPr>
        <w:pStyle w:val="Heading3"/>
      </w:pPr>
      <w:r>
        <w:t>5.1. Cronograma Ejecutivo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Fase 1: Planificación</w:t>
      </w:r>
      <w:r>
        <w:t xml:space="preserve"> – 2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2: Adquisiciones</w:t>
      </w:r>
      <w:r>
        <w:t xml:space="preserve"> – 3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3: Ejecución</w:t>
      </w:r>
      <w:r>
        <w:t xml:space="preserve"> – 6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4: Cierre</w:t>
      </w:r>
      <w:r>
        <w:t xml:space="preserve"> – 1 semana</w:t>
      </w:r>
      <w:r/>
      <w:r/>
    </w:p>
    <w:p>
      <w:pPr>
        <w:pStyle w:val="Heading3"/>
      </w:pPr>
      <w:r>
        <w:t>5.2. Recursos Requeridos</w:t>
      </w:r>
      <w:r/>
    </w:p>
    <w:p>
      <w:r/>
      <w:r>
        <w:t>Se requiere un equipo multidisciplinario con experiencia comprobada en proyectos similares, incluyendo ingenieros especialistas, técnicos certificados, y personal de gestión de proyectos.</w:t>
      </w:r>
      <w:r/>
    </w:p>
    <w:p>
      <w:pPr>
        <w:pStyle w:val="Heading3"/>
      </w:pPr>
      <w:r>
        <w:t>5.3. Hitos Críticos</w:t>
      </w:r>
      <w:r/>
      <w:r/>
    </w:p>
    <w:p>
      <w:pPr>
        <w:pStyle w:val="ListBullet"/>
        <w:spacing w:line="240" w:lineRule="auto"/>
        <w:ind w:left="720"/>
      </w:pPr>
      <w:r/>
      <w:r>
        <w:t>Aprobación del proyecto y firma de contrato</w:t>
      </w:r>
      <w:r/>
    </w:p>
    <w:p>
      <w:pPr>
        <w:pStyle w:val="ListBullet"/>
        <w:spacing w:line="240" w:lineRule="auto"/>
        <w:ind w:left="720"/>
      </w:pPr>
      <w:r/>
      <w:r>
        <w:t>Inicio formal de las obras</w:t>
      </w:r>
      <w:r/>
    </w:p>
    <w:p>
      <w:pPr>
        <w:pStyle w:val="ListBullet"/>
        <w:spacing w:line="240" w:lineRule="auto"/>
        <w:ind w:left="720"/>
      </w:pPr>
      <w:r/>
      <w:r>
        <w:t>Comisionamiento exitoso del sistema</w:t>
      </w:r>
      <w:r/>
    </w:p>
    <w:p>
      <w:pPr>
        <w:pStyle w:val="ListBullet"/>
        <w:spacing w:line="240" w:lineRule="auto"/>
        <w:ind w:left="720"/>
      </w:pPr>
      <w:r/>
      <w:r>
        <w:t>Cierre formal del proyecto y transferencia al cliente</w:t>
      </w:r>
      <w:r/>
      <w:r/>
      <w:r/>
      <w:r/>
      <w:r/>
    </w:p>
    <w:p>
      <w:pPr>
        <w:pStyle w:val="Heading4"/>
      </w:pPr>
      <w:r>
        <w:t>📊 Gráficos Recomendados para Presentación Ejecutiva</w:t>
      </w:r>
      <w:r/>
      <w:r/>
      <w:r/>
      <w:r>
        <w:t>📊</w:t>
      </w:r>
      <w:r/>
      <w:r>
        <w:t>Dashboard ejecutivo de KPIs</w:t>
      </w:r>
      <w:r/>
      <w:r/>
      <w:r/>
      <w:r>
        <w:t>💰</w:t>
      </w:r>
      <w:r/>
      <w:r>
        <w:t>Análisis de ROI y payback</w:t>
      </w:r>
      <w:r/>
      <w:r/>
      <w:r/>
      <w:r>
        <w:t>📅</w:t>
      </w:r>
      <w:r/>
      <w:r>
        <w:t>Diagrama de Gantt</w:t>
      </w:r>
      <w:r/>
      <w:r/>
      <w:r/>
      <w:r>
        <w:t>⚠️</w:t>
      </w:r>
      <w:r/>
      <w:r>
        <w:t>Matriz de riesgos</w:t>
      </w:r>
      <w:r/>
      <w:r/>
      <w:r/>
      <w:r>
        <w:t>📈</w:t>
      </w:r>
      <w:r/>
      <w:r>
        <w:t>Flujo de caja proyectado</w:t>
      </w:r>
      <w:r/>
      <w:r/>
      <w:r/>
      <w:r>
        <w:t>🔄</w:t>
      </w:r>
      <w:r/>
      <w:r>
        <w:t>Comparativa de escenarios</w:t>
      </w:r>
      <w:r/>
      <w:r/>
      <w:r/>
      <w:r/>
      <w:r/>
      <w:r/>
    </w:p>
    <w:p>
      <w:pPr>
        <w:pStyle w:val="Heading3"/>
      </w:pPr>
      <w:r>
        <w:t>CONCLUSIONES Y RECOMENDACIONES</w:t>
      </w:r>
      <w:r/>
      <w:r/>
    </w:p>
    <w:p>
      <w:pPr>
        <w:pStyle w:val="ListBullet"/>
        <w:spacing w:line="240" w:lineRule="auto"/>
        <w:ind w:left="720"/>
      </w:pPr>
      <w:r/>
      <w:r>
        <w:t>El proyecto es técnicamente viable según CNE Suministro 2011</w:t>
      </w:r>
      <w:r/>
    </w:p>
    <w:p>
      <w:pPr>
        <w:pStyle w:val="ListBullet"/>
        <w:spacing w:line="240" w:lineRule="auto"/>
        <w:ind w:left="720"/>
      </w:pPr>
      <w:r/>
      <w:r>
        <w:t>El análisis financiero demuestra un ROI atractivo de 25%</w:t>
      </w:r>
      <w:r/>
    </w:p>
    <w:p>
      <w:pPr>
        <w:pStyle w:val="ListBullet"/>
        <w:spacing w:line="240" w:lineRule="auto"/>
        <w:ind w:left="720"/>
      </w:pPr>
      <w:r/>
      <w:r>
        <w:t>Los riesgos identificados son manejables con los planes de mitigación propuestos</w:t>
      </w:r>
      <w:r/>
    </w:p>
    <w:p>
      <w:pPr>
        <w:pStyle w:val="ListBullet"/>
        <w:spacing w:line="240" w:lineRule="auto"/>
        <w:ind w:left="720"/>
      </w:pPr>
      <w:r/>
      <w:r>
        <w:t>Se recomienda aprobación e implementación inmediata del proyecto</w:t>
      </w:r>
      <w:r/>
    </w:p>
    <w:p>
      <w:pPr>
        <w:pStyle w:val="ListBullet"/>
        <w:spacing w:line="240" w:lineRule="auto"/>
        <w:ind w:left="720"/>
      </w:pPr>
      <w:r/>
      <w:r>
        <w:t>El proyecto generará valor significativo con beneficios cuantificables a corto y largo plazo</w:t>
      </w:r>
      <w:r/>
      <w:r/>
      <w:r/>
      <w:r/>
      <w:r/>
    </w:p>
    <w:p>
      <w:pPr>
        <w:pStyle w:val="Heading2"/>
      </w:pPr>
      <w:r>
        <w:t>Referencias</w:t>
      </w:r>
      <w:r/>
      <w:r>
        <w:t xml:space="preserve">Ministerio de Energía y Minas. (2011). </w:t>
      </w:r>
      <w:r>
        <w:rPr>
          <w:i/>
        </w:rPr>
        <w:t>CNE Suministro 2011</w:t>
      </w:r>
      <w:r>
        <w:t>. Lima, Perú: Dirección General de Electricidad.</w:t>
      </w:r>
      <w:r/>
      <w:r>
        <w:t xml:space="preserve">Project Management Institute. (2021). </w:t>
      </w:r>
      <w:r>
        <w:rPr>
          <w:i/>
        </w:rPr>
        <w:t>A guide to the project management body of knowledge (PMBOK® guide)</w:t>
      </w:r>
      <w:r>
        <w:t xml:space="preserve"> (7th ed.). Project Management Institute.</w:t>
      </w:r>
      <w:r/>
      <w:r>
        <w:t xml:space="preserve">Reglamento Nacional de Edificaciones. (2023). </w:t>
      </w:r>
      <w:r>
        <w:rPr>
          <w:i/>
        </w:rPr>
        <w:t>Norma técnica de edificación</w:t>
      </w:r>
      <w:r>
        <w:t>. Lima: Ministerio de Vivienda, Construcción y Saneamiento.</w:t>
      </w:r>
      <w:r/>
      <w:r>
        <w:t xml:space="preserve">Tesla Electricidad y Automatización S.A.C. (2024). </w:t>
      </w:r>
      <w:r>
        <w:rPr>
          <w:i/>
        </w:rPr>
        <w:t>Especificaciones técnicas y estándares de calidad</w:t>
      </w:r>
      <w:r>
        <w:t>. Lima, Perú.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>
        <w:t>Jr. Las Ágatas Mz B Lote 09, Urb. San Carlos, SJL</w:t>
      </w:r>
      <w:r/>
      <w:r>
        <w:t>Este informe fue preparado de acuerdo con los estándares de la 7ma edición del Manual de Publicaciones de la APA.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