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COT-202512-0004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eléctrica para oficina de 100m2, incluye 10 puntos de luz y 8 tomacorrientes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de fuerza industrial con protección y control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3500.00</w:t>
            </w:r>
          </w:p>
        </w:tc>
      </w:tr>
      <w:tr>
        <w:tc>
          <w:tcPr>
            <w:tcW w:type="dxa" w:w="2045"/>
          </w:tcPr>
          <w:p>
            <w:r>
              <w:t>Sistema de alimentación trifásica para motores (10 HP total)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3200.00</w:t>
            </w:r>
          </w:p>
        </w:tc>
      </w:tr>
      <w:tr>
        <w:tc>
          <w:tcPr>
            <w:tcW w:type="dxa" w:w="2045"/>
          </w:tcPr>
          <w:p>
            <w:r>
              <w:t>Arrancador suave electrónico con protección térmica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1800.00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3600.00</w:t>
            </w:r>
          </w:p>
        </w:tc>
      </w:tr>
      <w:tr>
        <w:tc>
          <w:tcPr>
            <w:tcW w:type="dxa" w:w="2045"/>
          </w:tcPr>
          <w:p>
            <w:r>
              <w:t>Sistema de compensación de factor de potencia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14800.00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2664.00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17464.00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23:43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