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8E44AD"/>
          <w:sz w:val="36"/>
        </w:rPr>
        <w:t>INFORME EJECUTIVO</w:t>
      </w:r>
    </w:p>
    <w:p>
      <w:pPr>
        <w:jc w:val="center"/>
      </w:pPr>
      <w:r>
        <w:rPr>
          <w:rFonts w:ascii="Calibri" w:hAnsi="Calibri"/>
          <w:color w:val="9B59B6"/>
        </w:rPr>
        <w:t>N° COT-1766526125601 | Fecha: 23/12/2025</w:t>
      </w:r>
    </w:p>
    <w:p/>
    <w:p>
      <w:r>
        <w:rPr>
          <w:rFonts w:ascii="Calibri" w:hAnsi="Calibri"/>
          <w:b/>
          <w:color w:val="8E44AD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8E44AD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275</w:t>
      </w:r>
    </w:p>
    <w:p/>
    <w:p>
      <w:r>
        <w:rPr>
          <w:rFonts w:ascii="Calibri" w:hAnsi="Calibri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9B59B6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8E44AD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8E44AD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