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COT-202512-0054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17/12/2025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DESCRIPCIÓN DEL PROYECTO</w:t>
      </w:r>
    </w:p>
    <w:p>
      <w:pPr>
        <w:jc w:val="both"/>
      </w:pPr>
      <w:r>
        <w:t>Pruebas 14</w:t>
      </w:r>
    </w:p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Punto de luz LED 18W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720.00</w:t>
            </w:r>
          </w:p>
        </w:tc>
      </w:tr>
      <w:tr>
        <w:tc>
          <w:tcPr>
            <w:tcW w:type="dxa" w:w="2045"/>
          </w:tcPr>
          <w:p>
            <w:r>
              <w:t>Tomacorriente doble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1260.00</w:t>
            </w:r>
          </w:p>
        </w:tc>
      </w:tr>
      <w:tr>
        <w:tc>
          <w:tcPr>
            <w:tcW w:type="dxa" w:w="2045"/>
          </w:tcPr>
          <w:p>
            <w:r>
              <w:t>Cable THW 2.5mm²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400.00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2380.00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428.40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2808.40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 Instalación según CNE Suministro 2011.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Cotizadora - Tu agente IA especializada</w:t>
        <w:br/>
      </w:r>
      <w:r>
        <w:rPr>
          <w:color w:val="6B7280"/>
          <w:sz w:val="16"/>
        </w:rPr>
        <w:t>Generado el 17/12/2025 a las 21:55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