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COT-202512-0055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17/12/2025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DESCRIPCIÓN DEL PROYECTO</w:t>
      </w:r>
    </w:p>
    <w:p>
      <w:pPr>
        <w:jc w:val="both"/>
      </w:pPr>
      <w:r>
        <w:t>Prueba 15</w:t>
      </w:r>
    </w:p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Punto de luz LED 18W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240.00</w:t>
            </w:r>
          </w:p>
        </w:tc>
      </w:tr>
      <w:tr>
        <w:tc>
          <w:tcPr>
            <w:tcW w:type="dxa" w:w="2045"/>
          </w:tcPr>
          <w:p>
            <w:r>
              <w:t>Tomacorriente doble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210.00</w:t>
            </w:r>
          </w:p>
        </w:tc>
      </w:tr>
      <w:tr>
        <w:tc>
          <w:tcPr>
            <w:tcW w:type="dxa" w:w="2045"/>
          </w:tcPr>
          <w:p>
            <w:r>
              <w:t>Cable THW 2.5mm²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200.00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650.00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117.00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767.00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 Instalación según CNE Suministro 2011.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Cotizadora - Tu agente IA especializada</w:t>
        <w:br/>
      </w:r>
      <w:r>
        <w:rPr>
          <w:color w:val="6B7280"/>
          <w:sz w:val="16"/>
        </w:rPr>
        <w:t>Generado el 17/12/2025 a las 22:18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