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3600"/>
          </w:tcPr>
          <w:p>
            <w:r>
              <w:drawing>
                <wp:inline xmlns:a="http://schemas.openxmlformats.org/drawingml/2006/main" xmlns:pic="http://schemas.openxmlformats.org/drawingml/2006/picture">
                  <wp:extent cx="1828800" cy="18288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_20251221_092304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28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65F46"/>
                <w:sz w:val="24"/>
              </w:rPr>
              <w:t>TESLA ELECTRICIDAD Y AUTOMATIZACIÓN S.A.C.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RUC: 20601138787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Jr. Las Ágatas Mz B Lote 09, Urb. San Carlos, SJL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Teléfono: 906 315 961</w:t>
            </w:r>
          </w:p>
          <w:p>
            <w:pPr>
              <w:jc w:val="right"/>
            </w:pPr>
            <w:r>
              <w:rPr>
                <w:color w:val="4B5563"/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65F46"/>
          <w:sz w:val="56"/>
        </w:rPr>
        <w:t>COTIZACIÓN DE SERVICIOS</w:t>
      </w:r>
    </w:p>
    <w:p>
      <w:pPr>
        <w:jc w:val="center"/>
      </w:pPr>
      <w:r>
        <w:rPr>
          <w:b/>
          <w:color w:val="047857"/>
          <w:sz w:val="32"/>
        </w:rPr>
        <w:t>N° COT-1766326983506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rPr>
                <w:b/>
                <w:color w:val="065F46"/>
                <w:sz w:val="22"/>
              </w:rPr>
              <w:t>DATOS DEL CLIENTE</w:t>
            </w:r>
          </w:p>
          <w:p>
            <w:r>
              <w:rPr>
                <w:sz w:val="20"/>
              </w:rPr>
              <w:t>Cliente: Rogelio Infantas Contreras</w:t>
            </w:r>
          </w:p>
          <w:p>
            <w:r>
              <w:rPr>
                <w:sz w:val="20"/>
              </w:rPr>
              <w:t>Proyecto: [Proyecto]</w:t>
            </w:r>
          </w:p>
          <w:p>
            <w:r>
              <w:rPr>
                <w:sz w:val="20"/>
              </w:rPr>
              <w:t>Área: 0 m²</w:t>
            </w:r>
          </w:p>
        </w:tc>
        <w:tc>
          <w:tcPr>
            <w:tcW w:type="dxa" w:w="4982"/>
          </w:tcPr>
          <w:p>
            <w:r>
              <w:rPr>
                <w:b/>
                <w:color w:val="065F46"/>
                <w:sz w:val="22"/>
              </w:rPr>
              <w:t>DATOS DE LA COTIZACIÓN</w:t>
            </w:r>
          </w:p>
          <w:p>
            <w:r>
              <w:rPr>
                <w:sz w:val="20"/>
              </w:rPr>
              <w:t>Fecha: 21/12/2025</w:t>
            </w:r>
          </w:p>
          <w:p>
            <w:r>
              <w:rPr>
                <w:sz w:val="20"/>
              </w:rPr>
              <w:t>Vigencia: 30 días</w:t>
            </w:r>
          </w:p>
          <w:p>
            <w:r>
              <w:rPr>
                <w:sz w:val="20"/>
              </w:rPr>
              <w:t>Servicio: Instalaciones Eléctricas</w:t>
            </w:r>
          </w:p>
        </w:tc>
      </w:tr>
    </w:tbl>
    <w:p/>
    <w:p>
      <w:r>
        <w:rPr>
          <w:b/>
          <w:color w:val="065F46"/>
          <w:sz w:val="28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61"/>
        <w:gridCol w:w="1661"/>
        <w:gridCol w:w="1661"/>
        <w:gridCol w:w="1661"/>
        <w:gridCol w:w="1661"/>
        <w:gridCol w:w="1661"/>
      </w:tblGrid>
      <w:tr>
        <w:tc>
          <w:tcPr>
            <w:tcW w:type="dxa" w:w="1661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ITEM</w:t>
            </w:r>
          </w:p>
        </w:tc>
        <w:tc>
          <w:tcPr>
            <w:tcW w:type="dxa" w:w="1661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1661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CANT.</w:t>
            </w:r>
          </w:p>
        </w:tc>
        <w:tc>
          <w:tcPr>
            <w:tcW w:type="dxa" w:w="1661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UNIDAD</w:t>
            </w:r>
          </w:p>
        </w:tc>
        <w:tc>
          <w:tcPr>
            <w:tcW w:type="dxa" w:w="1661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P. UNIT.</w:t>
            </w:r>
          </w:p>
        </w:tc>
        <w:tc>
          <w:tcPr>
            <w:tcW w:type="dxa" w:w="1661"/>
            <w:shd w:fill="065F4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TOTAL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01</w:t>
            </w:r>
          </w:p>
        </w:tc>
        <w:tc>
          <w:tcPr>
            <w:tcW w:type="dxa" w:w="1661"/>
          </w:tcPr>
          <w:p>
            <w:r>
              <w:t>Punto de luz LED 18W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8.00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330.00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2640.00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02</w:t>
            </w:r>
          </w:p>
        </w:tc>
        <w:tc>
          <w:tcPr>
            <w:tcW w:type="dxa" w:w="1661"/>
          </w:tcPr>
          <w:p>
            <w:r>
              <w:t>Tomacorriente doble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6.00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pto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235.00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1410.00</w:t>
            </w:r>
          </w:p>
        </w:tc>
      </w:tr>
      <w:tr>
        <w:tc>
          <w:tcPr>
            <w:tcW w:type="dxa" w:w="1661"/>
          </w:tcPr>
          <w:p>
            <w:pPr>
              <w:jc w:val="center"/>
            </w:pPr>
            <w:r>
              <w:t>03</w:t>
            </w:r>
          </w:p>
        </w:tc>
        <w:tc>
          <w:tcPr>
            <w:tcW w:type="dxa" w:w="1661"/>
          </w:tcPr>
          <w:p>
            <w:r>
              <w:t>Cable THW 2.5mm²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50.00</w:t>
            </w:r>
          </w:p>
        </w:tc>
        <w:tc>
          <w:tcPr>
            <w:tcW w:type="dxa" w:w="1661"/>
          </w:tcPr>
          <w:p>
            <w:pPr>
              <w:jc w:val="center"/>
            </w:pPr>
            <w:r>
              <w:t>m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t>S/ 40.00</w:t>
            </w:r>
          </w:p>
        </w:tc>
        <w:tc>
          <w:tcPr>
            <w:tcW w:type="dxa" w:w="1661"/>
          </w:tcPr>
          <w:p>
            <w:pPr>
              <w:jc w:val="right"/>
            </w:pPr>
            <w:r>
              <w:rPr>
                <w:b/>
              </w:rPr>
              <w:t>S/ 2000.00</w:t>
            </w:r>
          </w:p>
        </w:tc>
      </w:tr>
    </w:tbl>
    <w:p/>
    <w:tbl>
      <w:tblPr>
        <w:tblW w:type="auto" w:w="0"/>
        <w:jc w:val="right"/>
        <w:tblLook w:firstColumn="1" w:firstRow="1" w:lastColumn="0" w:lastRow="0" w:noHBand="0" w:noVBand="1" w:val="04A0"/>
      </w:tblPr>
      <w:tblGrid>
        <w:gridCol w:w="4982"/>
        <w:gridCol w:w="4982"/>
      </w:tblGrid>
      <w:tr>
        <w:tc>
          <w:tcPr>
            <w:tcW w:type="dxa" w:w="4982"/>
          </w:tcPr>
          <w:p>
            <w:r>
              <w:t>SUBTOTAL:</w:t>
            </w:r>
          </w:p>
        </w:tc>
        <w:tc>
          <w:tcPr>
            <w:tcW w:type="dxa" w:w="4982"/>
          </w:tcPr>
          <w:p>
            <w:r>
              <w:t>S/ 6050.00</w:t>
            </w:r>
          </w:p>
        </w:tc>
      </w:tr>
      <w:tr>
        <w:tc>
          <w:tcPr>
            <w:tcW w:type="dxa" w:w="4982"/>
          </w:tcPr>
          <w:p>
            <w:r>
              <w:t>IGV (18%):</w:t>
            </w:r>
          </w:p>
        </w:tc>
        <w:tc>
          <w:tcPr>
            <w:tcW w:type="dxa" w:w="4982"/>
          </w:tcPr>
          <w:p>
            <w:r>
              <w:t>S/ 1089.00</w:t>
            </w:r>
          </w:p>
        </w:tc>
      </w:tr>
      <w:tr>
        <w:tc>
          <w:tcPr>
            <w:tcW w:type="dxa" w:w="4982"/>
            <w:shd w:fill="065F46"/>
          </w:tcPr>
          <w:p>
            <w:r>
              <w:rPr>
                <w:b/>
                <w:color w:val="FFFFFF"/>
                <w:sz w:val="28"/>
              </w:rPr>
              <w:t>TOTAL:</w:t>
            </w:r>
          </w:p>
        </w:tc>
        <w:tc>
          <w:tcPr>
            <w:tcW w:type="dxa" w:w="4982"/>
            <w:shd w:fill="065F46"/>
          </w:tcPr>
          <w:p>
            <w:r>
              <w:rPr>
                <w:b/>
                <w:color w:val="FFFFFF"/>
                <w:sz w:val="28"/>
              </w:rPr>
              <w:t>S/ 7139.00</w:t>
            </w:r>
          </w:p>
        </w:tc>
      </w:tr>
    </w:tbl>
    <w:p/>
    <w:p>
      <w:r>
        <w:rPr>
          <w:b/>
          <w:color w:val="065F46"/>
          <w:sz w:val="24"/>
        </w:rPr>
        <w:t>Observaciones Técnicas</w:t>
      </w:r>
    </w:p>
    <w:p>
      <w:pPr>
        <w:pStyle w:val="ListBullet"/>
      </w:pPr>
      <w:r>
        <w:rPr>
          <w:sz w:val="20"/>
        </w:rPr>
        <w:t>Trabajos ejecutados según CNE - Código Nacional de Electricidad</w:t>
      </w:r>
    </w:p>
    <w:p>
      <w:pPr>
        <w:pStyle w:val="ListBullet"/>
      </w:pPr>
      <w:r>
        <w:rPr>
          <w:sz w:val="20"/>
        </w:rPr>
        <w:t>Materiales de primera calidad con certificación</w:t>
      </w:r>
    </w:p>
    <w:p>
      <w:pPr>
        <w:pStyle w:val="ListBullet"/>
      </w:pPr>
      <w:r>
        <w:rPr>
          <w:sz w:val="20"/>
        </w:rPr>
        <w:t>Mano de obra especializada</w:t>
      </w:r>
    </w:p>
    <w:p>
      <w:pPr>
        <w:pStyle w:val="ListBullet"/>
      </w:pPr>
      <w:r>
        <w:rPr>
          <w:sz w:val="20"/>
        </w:rPr>
        <w:t>Garantía de 12 meses en mano de obra</w:t>
      </w:r>
    </w:p>
    <w:p>
      <w:pPr>
        <w:pStyle w:val="ListBullet"/>
      </w:pPr>
      <w:r>
        <w:rPr>
          <w:sz w:val="20"/>
        </w:rPr>
        <w:t>Precios en soles peruanos (PEN)</w:t>
      </w:r>
    </w:p>
    <w:p>
      <w:pPr>
        <w:pStyle w:val="ListBullet"/>
      </w:pPr>
      <w:r>
        <w:rPr>
          <w:sz w:val="20"/>
        </w:rPr>
        <w:t>Forma de pago: 50% adelanto, 50% contra entrega</w:t>
      </w:r>
    </w:p>
    <w:p>
      <w:pPr>
        <w:pStyle w:val="ListBullet"/>
      </w:pPr>
      <w:r>
        <w:rPr>
          <w:sz w:val="20"/>
        </w:rPr>
        <w:t>Cotización válida por 30 días</w:t>
      </w:r>
    </w:p>
    <w:p/>
    <w:p>
      <w:pPr>
        <w:jc w:val="center"/>
      </w:pPr>
      <w:r>
        <w:rPr>
          <w:b/>
          <w:color w:val="065F46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