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352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COT-1766515920044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Punto de luz LED 18W</w:t>
            </w:r>
          </w:p>
        </w:tc>
        <w:tc>
          <w:tcPr>
            <w:tcW w:type="dxa" w:w="1656"/>
          </w:tcPr>
          <w:p>
            <w:r>
              <w:t>8.0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30.00</w:t>
            </w:r>
          </w:p>
        </w:tc>
        <w:tc>
          <w:tcPr>
            <w:tcW w:type="dxa" w:w="1656"/>
          </w:tcPr>
          <w:p>
            <w:r>
              <w:t>S/ 240.00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Tomacorriente doble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35.00</w:t>
            </w:r>
          </w:p>
        </w:tc>
        <w:tc>
          <w:tcPr>
            <w:tcW w:type="dxa" w:w="1656"/>
          </w:tcPr>
          <w:p>
            <w:r>
              <w:t>S/ 210.00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Cable THW 2.5mm²</w:t>
            </w:r>
          </w:p>
        </w:tc>
        <w:tc>
          <w:tcPr>
            <w:tcW w:type="dxa" w:w="1656"/>
          </w:tcPr>
          <w:p>
            <w:r>
              <w:t>50.0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r>
              <w:t>S/ 4.00</w:t>
            </w:r>
          </w:p>
        </w:tc>
        <w:tc>
          <w:tcPr>
            <w:tcW w:type="dxa" w:w="1656"/>
          </w:tcPr>
          <w:p>
            <w:r>
              <w:t>S/ 200.00</w:t>
            </w:r>
          </w:p>
        </w:tc>
      </w:tr>
    </w:tbl>
    <w:p>
      <w:pPr>
        <w:jc w:val="right"/>
      </w:pPr>
      <w:r>
        <w:rPr>
          <w:b/>
          <w:color w:val="1E40AF"/>
          <w:sz w:val="24"/>
        </w:rPr>
        <w:t>Subtotal Capítulo 1: S/ 650.00</w:t>
      </w:r>
    </w:p>
    <w:p/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650.00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117.00</w:t>
            </w:r>
          </w:p>
        </w:tc>
      </w:tr>
      <w:tr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S/ 767.00</w:t>
            </w:r>
          </w:p>
        </w:tc>
      </w:tr>
    </w:tbl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